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28F" w:rsidRDefault="0095024E" w:rsidP="006E028F">
      <w:r>
        <w:t>A</w:t>
      </w:r>
      <w:r w:rsidR="006E028F">
        <w:t>495-</w:t>
      </w:r>
      <w:r w:rsidR="006E028F" w:rsidRPr="006E028F">
        <w:rPr>
          <w:bCs/>
        </w:rPr>
        <w:t>AM</w:t>
      </w:r>
      <w:proofErr w:type="gramStart"/>
      <w:r w:rsidR="006E028F" w:rsidRPr="006E028F">
        <w:rPr>
          <w:bCs/>
        </w:rPr>
        <w:t>,N</w:t>
      </w:r>
      <w:proofErr w:type="gramEnd"/>
      <w:r w:rsidR="006E028F" w:rsidRPr="006E028F">
        <w:rPr>
          <w:bCs/>
        </w:rPr>
        <w:t>-NW-Quileute</w:t>
      </w:r>
      <w:r w:rsidR="006E028F">
        <w:t>-Totem Pole-Cedar wood-early 19</w:t>
      </w:r>
      <w:r w:rsidR="006E028F" w:rsidRPr="00BF182D">
        <w:rPr>
          <w:vertAlign w:val="superscript"/>
        </w:rPr>
        <w:t>th</w:t>
      </w:r>
      <w:r w:rsidR="006E028F">
        <w:t xml:space="preserve"> century</w:t>
      </w:r>
    </w:p>
    <w:p w:rsidR="00151F1C" w:rsidRDefault="00151F1C"/>
    <w:p w:rsidR="00DF04C5" w:rsidRDefault="00B42031">
      <w:r>
        <w:rPr>
          <w:noProof/>
        </w:rPr>
        <w:drawing>
          <wp:inline distT="0" distB="0" distL="0" distR="0" wp14:anchorId="424C575B" wp14:editId="3ACD8E27">
            <wp:extent cx="1409700" cy="621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0357" cy="626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DCC37" wp14:editId="58CD091B">
            <wp:extent cx="1399039" cy="617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3854" cy="619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4C5">
        <w:rPr>
          <w:noProof/>
        </w:rPr>
        <w:drawing>
          <wp:inline distT="0" distB="0" distL="0" distR="0" wp14:anchorId="24D83856" wp14:editId="2AA3670F">
            <wp:extent cx="1669559" cy="62565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543" cy="628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3B45">
        <w:rPr>
          <w:noProof/>
        </w:rPr>
        <w:drawing>
          <wp:inline distT="0" distB="0" distL="0" distR="0" wp14:anchorId="30C4E8C6" wp14:editId="7E8F7785">
            <wp:extent cx="1200135" cy="6205348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5477" cy="62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4C5" w:rsidRDefault="00442A5F">
      <w:r>
        <w:rPr>
          <w:bCs/>
        </w:rPr>
        <w:t xml:space="preserve">Figs. 1-4. </w:t>
      </w:r>
      <w:r w:rsidR="00BF182D" w:rsidRPr="006E028F">
        <w:rPr>
          <w:bCs/>
        </w:rPr>
        <w:t>Quileute</w:t>
      </w:r>
      <w:r w:rsidR="00BF182D">
        <w:t>-</w:t>
      </w:r>
      <w:r w:rsidR="00803B45">
        <w:t>Totem Pole</w:t>
      </w:r>
      <w:r w:rsidR="00BF182D">
        <w:t>-</w:t>
      </w:r>
      <w:r w:rsidR="00DF04C5">
        <w:t>Thunderbird</w:t>
      </w:r>
      <w:r w:rsidR="00BF182D">
        <w:t>-</w:t>
      </w:r>
      <w:r w:rsidR="00B42031">
        <w:t>Whale</w:t>
      </w:r>
      <w:r w:rsidR="00BF182D">
        <w:t>-</w:t>
      </w:r>
      <w:r w:rsidR="00DF04C5">
        <w:t>Raven</w:t>
      </w:r>
      <w:r w:rsidR="00BF182D">
        <w:t>-</w:t>
      </w:r>
      <w:r w:rsidR="00DF04C5">
        <w:t>Mink</w:t>
      </w:r>
      <w:r w:rsidR="00BF182D">
        <w:t>-</w:t>
      </w:r>
      <w:r w:rsidR="00DF04C5">
        <w:t xml:space="preserve"> Frog</w:t>
      </w:r>
      <w:r w:rsidR="00BF182D">
        <w:t>-</w:t>
      </w:r>
      <w:r w:rsidR="00B42031">
        <w:t>Bear</w:t>
      </w:r>
      <w:r w:rsidR="00DF04C5">
        <w:t xml:space="preserve"> Mother</w:t>
      </w:r>
      <w:r w:rsidR="00BF182D">
        <w:t>-</w:t>
      </w:r>
      <w:r w:rsidR="00DF04C5">
        <w:t xml:space="preserve"> King Fisher</w:t>
      </w:r>
      <w:r w:rsidR="00BF182D">
        <w:t>-Cedar wood-19</w:t>
      </w:r>
      <w:r w:rsidR="00BF182D" w:rsidRPr="00BF182D">
        <w:rPr>
          <w:vertAlign w:val="superscript"/>
        </w:rPr>
        <w:t>th</w:t>
      </w:r>
      <w:r w:rsidR="00BF182D">
        <w:t xml:space="preserve"> century</w:t>
      </w:r>
    </w:p>
    <w:p w:rsidR="00E868F2" w:rsidRDefault="00E868F2" w:rsidP="0032165E">
      <w:pPr>
        <w:spacing w:after="0"/>
        <w:rPr>
          <w:rStyle w:val="Strong"/>
        </w:rPr>
      </w:pPr>
      <w:r>
        <w:rPr>
          <w:rStyle w:val="Strong"/>
        </w:rPr>
        <w:t>Case no.: 8</w:t>
      </w:r>
    </w:p>
    <w:p w:rsidR="00E868F2" w:rsidRDefault="00E868F2" w:rsidP="0032165E">
      <w:pPr>
        <w:spacing w:after="0"/>
        <w:rPr>
          <w:rStyle w:val="Strong"/>
        </w:rPr>
      </w:pPr>
      <w:r>
        <w:rPr>
          <w:rStyle w:val="Strong"/>
        </w:rPr>
        <w:t>Accession Number:</w:t>
      </w:r>
      <w:r w:rsidR="00BF182D">
        <w:rPr>
          <w:rStyle w:val="Strong"/>
        </w:rPr>
        <w:t xml:space="preserve"> A495</w:t>
      </w:r>
    </w:p>
    <w:p w:rsidR="00E868F2" w:rsidRPr="006E028F" w:rsidRDefault="00E868F2" w:rsidP="0032165E">
      <w:pPr>
        <w:spacing w:after="0"/>
        <w:rPr>
          <w:rStyle w:val="Strong"/>
          <w:b w:val="0"/>
          <w:bCs w:val="0"/>
        </w:rPr>
      </w:pPr>
      <w:r>
        <w:rPr>
          <w:rStyle w:val="Strong"/>
        </w:rPr>
        <w:t>Formal Label:</w:t>
      </w:r>
      <w:r w:rsidR="006E028F">
        <w:rPr>
          <w:rStyle w:val="Strong"/>
        </w:rPr>
        <w:t xml:space="preserve"> </w:t>
      </w:r>
      <w:r w:rsidR="006E028F" w:rsidRPr="006E028F">
        <w:rPr>
          <w:bCs/>
        </w:rPr>
        <w:t>Quileute</w:t>
      </w:r>
      <w:r w:rsidR="006E028F">
        <w:t>-Totem Pole-Thunderbird-Whale-Raven-Mink- Frog-Bear Mother- King Fisher-Cedar wood-19</w:t>
      </w:r>
      <w:r w:rsidR="006E028F" w:rsidRPr="00BF182D">
        <w:rPr>
          <w:vertAlign w:val="superscript"/>
        </w:rPr>
        <w:t>th</w:t>
      </w:r>
      <w:r w:rsidR="006E028F">
        <w:t xml:space="preserve"> century</w:t>
      </w:r>
    </w:p>
    <w:p w:rsidR="00E868F2" w:rsidRDefault="00E868F2" w:rsidP="0032165E">
      <w:pPr>
        <w:spacing w:after="0"/>
        <w:rPr>
          <w:b/>
          <w:bCs/>
        </w:rPr>
      </w:pPr>
      <w:r w:rsidRPr="00ED4BF3">
        <w:rPr>
          <w:b/>
          <w:bCs/>
        </w:rPr>
        <w:lastRenderedPageBreak/>
        <w:t>Display Description:</w:t>
      </w:r>
    </w:p>
    <w:p w:rsidR="005002D6" w:rsidRPr="00776988" w:rsidRDefault="005002D6" w:rsidP="0032165E">
      <w:pPr>
        <w:pStyle w:val="NormalWeb"/>
        <w:spacing w:before="0" w:beforeAutospacing="0" w:after="0" w:afterAutospacing="0"/>
      </w:pPr>
      <w:r>
        <w:t xml:space="preserve">The </w:t>
      </w:r>
      <w:r w:rsidRPr="0032165E">
        <w:rPr>
          <w:bCs/>
        </w:rPr>
        <w:t>Quileute</w:t>
      </w:r>
      <w:r w:rsidRPr="0032165E">
        <w:t xml:space="preserve"> </w:t>
      </w:r>
      <w:r w:rsidRPr="0032165E">
        <w:rPr>
          <w:rStyle w:val="ipa"/>
        </w:rPr>
        <w:t>(</w:t>
      </w:r>
      <w:proofErr w:type="spellStart"/>
      <w:r w:rsidRPr="0032165E">
        <w:rPr>
          <w:bCs/>
        </w:rPr>
        <w:t>Quillayute</w:t>
      </w:r>
      <w:proofErr w:type="spellEnd"/>
      <w:r w:rsidRPr="0032165E">
        <w:rPr>
          <w:rStyle w:val="ipa"/>
        </w:rPr>
        <w:t>)</w:t>
      </w:r>
      <w:r>
        <w:t xml:space="preserve">, a First Nation in western </w:t>
      </w:r>
      <w:r w:rsidRPr="005002D6">
        <w:t>Washington</w:t>
      </w:r>
      <w:r>
        <w:t xml:space="preserve"> State</w:t>
      </w:r>
      <w:r w:rsidR="00406720">
        <w:t xml:space="preserve"> had whaling </w:t>
      </w:r>
      <w:r w:rsidR="0017343F">
        <w:t>families</w:t>
      </w:r>
      <w:r w:rsidR="00406720">
        <w:t xml:space="preserve"> that </w:t>
      </w:r>
      <w:r>
        <w:t xml:space="preserve">were being deprived of </w:t>
      </w:r>
      <w:r w:rsidR="00406720">
        <w:t xml:space="preserve">hunting </w:t>
      </w:r>
      <w:r w:rsidR="0017343F">
        <w:t xml:space="preserve">whales by a </w:t>
      </w:r>
      <w:r>
        <w:t xml:space="preserve">monster </w:t>
      </w:r>
      <w:r w:rsidR="0017343F">
        <w:t>s</w:t>
      </w:r>
      <w:r w:rsidR="00406720">
        <w:t xml:space="preserve">perm </w:t>
      </w:r>
      <w:r>
        <w:t xml:space="preserve">Whale, who was killing </w:t>
      </w:r>
      <w:r w:rsidR="00406720">
        <w:t>lesser</w:t>
      </w:r>
      <w:r>
        <w:t xml:space="preserve"> whales</w:t>
      </w:r>
      <w:r w:rsidR="00871E75">
        <w:t xml:space="preserve"> and depriving the People of whale meat and whale oil. </w:t>
      </w:r>
      <w:r w:rsidRPr="005002D6">
        <w:t>Thunderbird</w:t>
      </w:r>
      <w:r w:rsidR="00871E75">
        <w:t xml:space="preserve"> was a </w:t>
      </w:r>
      <w:r w:rsidRPr="005002D6">
        <w:t>supernatural</w:t>
      </w:r>
      <w:r>
        <w:t xml:space="preserve"> being</w:t>
      </w:r>
      <w:r w:rsidR="00871E75">
        <w:t xml:space="preserve"> who</w:t>
      </w:r>
      <w:r>
        <w:t xml:space="preserve"> </w:t>
      </w:r>
      <w:r w:rsidR="00406720">
        <w:t xml:space="preserve">lived </w:t>
      </w:r>
      <w:r>
        <w:t xml:space="preserve">in the </w:t>
      </w:r>
      <w:r w:rsidR="00406720">
        <w:t>Cascade M</w:t>
      </w:r>
      <w:r>
        <w:t>ountains</w:t>
      </w:r>
      <w:r w:rsidR="00406720">
        <w:t>, and saw</w:t>
      </w:r>
      <w:r>
        <w:t xml:space="preserve"> </w:t>
      </w:r>
      <w:r w:rsidR="00871E75">
        <w:t xml:space="preserve">from his high perch </w:t>
      </w:r>
      <w:r>
        <w:t xml:space="preserve">that the </w:t>
      </w:r>
      <w:r w:rsidR="00871E75">
        <w:t>P</w:t>
      </w:r>
      <w:r>
        <w:t xml:space="preserve">eople were starving. </w:t>
      </w:r>
      <w:r w:rsidR="00406720">
        <w:t>S</w:t>
      </w:r>
      <w:r>
        <w:t>o</w:t>
      </w:r>
      <w:r w:rsidR="00871E75">
        <w:t xml:space="preserve"> he flew</w:t>
      </w:r>
      <w:r>
        <w:t xml:space="preserve"> over </w:t>
      </w:r>
      <w:r w:rsidR="00406720">
        <w:t>Puge</w:t>
      </w:r>
      <w:r w:rsidR="00871E75">
        <w:t>t</w:t>
      </w:r>
      <w:r>
        <w:t xml:space="preserve"> </w:t>
      </w:r>
      <w:r w:rsidR="00776988">
        <w:t>Sound</w:t>
      </w:r>
      <w:r w:rsidR="00871E75">
        <w:t>, found and</w:t>
      </w:r>
      <w:r>
        <w:t xml:space="preserve"> seized Whale</w:t>
      </w:r>
      <w:r w:rsidR="00406720">
        <w:t xml:space="preserve">, </w:t>
      </w:r>
      <w:r w:rsidR="00871E75">
        <w:t xml:space="preserve">and engaged in </w:t>
      </w:r>
      <w:r w:rsidR="00406720">
        <w:t xml:space="preserve">a </w:t>
      </w:r>
      <w:r w:rsidR="00871E75">
        <w:t xml:space="preserve">momentous </w:t>
      </w:r>
      <w:r w:rsidR="00406720">
        <w:t xml:space="preserve">struggle </w:t>
      </w:r>
      <w:r w:rsidR="00871E75">
        <w:t>to lift</w:t>
      </w:r>
      <w:r>
        <w:t xml:space="preserve"> Whale out of the </w:t>
      </w:r>
      <w:r w:rsidR="00871E75">
        <w:t>water. When Thunderbird released Whale over land thunder was he</w:t>
      </w:r>
      <w:r w:rsidR="00776988">
        <w:t>a</w:t>
      </w:r>
      <w:r w:rsidR="00871E75">
        <w:t>r</w:t>
      </w:r>
      <w:r w:rsidR="00776988">
        <w:t>d</w:t>
      </w:r>
      <w:r w:rsidR="00871E75">
        <w:t xml:space="preserve">, then he released Whale </w:t>
      </w:r>
      <w:r w:rsidR="00776988">
        <w:t>over</w:t>
      </w:r>
      <w:r w:rsidR="00871E75">
        <w:t xml:space="preserve"> water and thunder was heard again, and this continued for a long time </w:t>
      </w:r>
      <w:r w:rsidR="00776988">
        <w:t>until</w:t>
      </w:r>
      <w:r w:rsidR="00871E75">
        <w:t xml:space="preserve"> </w:t>
      </w:r>
      <w:r w:rsidR="00776988">
        <w:t>a</w:t>
      </w:r>
      <w:r>
        <w:t xml:space="preserve"> </w:t>
      </w:r>
      <w:r w:rsidRPr="0017343F">
        <w:t>Vancouver Island</w:t>
      </w:r>
      <w:r>
        <w:t xml:space="preserve"> </w:t>
      </w:r>
      <w:r w:rsidR="00776988">
        <w:t xml:space="preserve">boy saw </w:t>
      </w:r>
      <w:r>
        <w:t xml:space="preserve">Thunderbird seizing and dropping </w:t>
      </w:r>
      <w:r w:rsidR="00BF182D">
        <w:t>W</w:t>
      </w:r>
      <w:r>
        <w:t xml:space="preserve">hale. Thunderbird saw the boy and told him that </w:t>
      </w:r>
      <w:r w:rsidR="00776988">
        <w:t>this</w:t>
      </w:r>
      <w:r>
        <w:t xml:space="preserve"> story was now his, and he had the right to wear the Thunderbird mask and wings at the </w:t>
      </w:r>
      <w:r w:rsidRPr="0017343F">
        <w:t>potlatch</w:t>
      </w:r>
      <w:r w:rsidR="00776988">
        <w:t xml:space="preserve"> and </w:t>
      </w:r>
      <w:r w:rsidR="00BF182D">
        <w:t xml:space="preserve">to </w:t>
      </w:r>
      <w:r w:rsidR="00776988">
        <w:t xml:space="preserve">re-enact </w:t>
      </w:r>
      <w:r w:rsidR="00BF182D">
        <w:t>Thunderbird’s</w:t>
      </w:r>
      <w:r w:rsidR="00776988">
        <w:t xml:space="preserve"> battle for his People, so that each time he would flap his wings thunder </w:t>
      </w:r>
      <w:r w:rsidR="00BF182D">
        <w:t>c</w:t>
      </w:r>
      <w:r w:rsidR="00776988">
        <w:t xml:space="preserve">ould be heard by Raven, Mink, Frog Bear Mother and King Fisher, </w:t>
      </w:r>
      <w:r w:rsidR="00BF182D">
        <w:t xml:space="preserve">so </w:t>
      </w:r>
      <w:r w:rsidR="00776988">
        <w:t xml:space="preserve">the whole of Creation would appreciate </w:t>
      </w:r>
      <w:r w:rsidR="007725BE">
        <w:t xml:space="preserve">the recurrent sound of thunder of </w:t>
      </w:r>
      <w:r w:rsidR="00776988">
        <w:t>Thunderbird the Creator</w:t>
      </w:r>
      <w:r w:rsidR="007725BE">
        <w:t xml:space="preserve"> and not the exceptionalism of each clap</w:t>
      </w:r>
      <w:r w:rsidR="00776988">
        <w:t>.</w:t>
      </w:r>
    </w:p>
    <w:p w:rsidR="00E868F2" w:rsidRPr="00EB5DE2" w:rsidRDefault="00E868F2" w:rsidP="0032165E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776988">
        <w:rPr>
          <w:b/>
          <w:bCs/>
        </w:rPr>
        <w:t xml:space="preserve"> </w:t>
      </w:r>
      <w:r w:rsidR="00776988" w:rsidRPr="00D537D8">
        <w:rPr>
          <w:bCs/>
        </w:rPr>
        <w:t>E99</w:t>
      </w:r>
      <w:r w:rsidR="00BF182D" w:rsidRPr="00D537D8">
        <w:rPr>
          <w:bCs/>
        </w:rPr>
        <w:t>.Q5</w:t>
      </w:r>
    </w:p>
    <w:p w:rsidR="00E868F2" w:rsidRDefault="00E868F2" w:rsidP="0032165E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BF182D">
        <w:t>19</w:t>
      </w:r>
      <w:r w:rsidR="00BF182D" w:rsidRPr="00BF182D">
        <w:rPr>
          <w:vertAlign w:val="superscript"/>
        </w:rPr>
        <w:t>th</w:t>
      </w:r>
      <w:r w:rsidR="00BF182D">
        <w:t xml:space="preserve"> century</w:t>
      </w:r>
    </w:p>
    <w:p w:rsidR="00E868F2" w:rsidRDefault="00E868F2" w:rsidP="0032165E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BF182D">
        <w:t>Pacific Northwest</w:t>
      </w:r>
    </w:p>
    <w:p w:rsidR="00BF182D" w:rsidRPr="0011252F" w:rsidRDefault="00E868F2" w:rsidP="0032165E">
      <w:pPr>
        <w:spacing w:after="0"/>
        <w:rPr>
          <w:b/>
        </w:rPr>
      </w:pPr>
      <w:r w:rsidRPr="0011252F">
        <w:rPr>
          <w:b/>
        </w:rPr>
        <w:t>Map, GPS coordinates:</w:t>
      </w:r>
      <w:r w:rsidR="00BF182D">
        <w:rPr>
          <w:b/>
        </w:rPr>
        <w:t xml:space="preserve"> </w:t>
      </w:r>
      <w:r w:rsidR="00BF182D" w:rsidRPr="00D537D8">
        <w:t>Puget Sound</w:t>
      </w:r>
    </w:p>
    <w:p w:rsidR="00E868F2" w:rsidRDefault="00E868F2" w:rsidP="0032165E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BF182D" w:rsidRPr="00D537D8">
        <w:rPr>
          <w:bCs/>
        </w:rPr>
        <w:t>Quileute Totem Pole</w:t>
      </w:r>
    </w:p>
    <w:p w:rsidR="00BF182D" w:rsidRDefault="00E868F2" w:rsidP="0032165E">
      <w:pPr>
        <w:spacing w:after="0"/>
      </w:pPr>
      <w:r>
        <w:rPr>
          <w:rStyle w:val="Strong"/>
        </w:rPr>
        <w:t>Medi</w:t>
      </w:r>
      <w:r w:rsidR="00BF182D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BF182D">
        <w:t>cedar wood</w:t>
      </w:r>
    </w:p>
    <w:p w:rsidR="00E868F2" w:rsidRDefault="00E868F2" w:rsidP="0032165E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 w:rsidR="00BF182D">
        <w:t xml:space="preserve">393.45 mm, 14.7 in </w:t>
      </w:r>
    </w:p>
    <w:p w:rsidR="00E868F2" w:rsidRDefault="00E868F2" w:rsidP="0032165E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 w:rsidR="00BF182D">
        <w:t>373.45 gm, 3.25 oz</w:t>
      </w:r>
    </w:p>
    <w:p w:rsidR="00E868F2" w:rsidRDefault="00E868F2" w:rsidP="0032165E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BF182D">
        <w:rPr>
          <w:rStyle w:val="Strong"/>
        </w:rPr>
        <w:t xml:space="preserve"> </w:t>
      </w:r>
      <w:r w:rsidR="00BF182D" w:rsidRPr="00D537D8">
        <w:rPr>
          <w:rStyle w:val="Strong"/>
          <w:b w:val="0"/>
        </w:rPr>
        <w:t>original</w:t>
      </w:r>
    </w:p>
    <w:p w:rsidR="00D537D8" w:rsidRPr="00D537D8" w:rsidRDefault="00E868F2" w:rsidP="0032165E">
      <w:pPr>
        <w:spacing w:after="0"/>
      </w:pPr>
      <w:r>
        <w:rPr>
          <w:rStyle w:val="Strong"/>
        </w:rPr>
        <w:t>Provenance:</w:t>
      </w:r>
      <w:r>
        <w:t xml:space="preserve"> </w:t>
      </w:r>
      <w:r w:rsidR="00D537D8" w:rsidRPr="00D537D8">
        <w:t xml:space="preserve">Everett </w:t>
      </w:r>
      <w:proofErr w:type="spellStart"/>
      <w:r w:rsidR="00D537D8" w:rsidRPr="00D537D8">
        <w:t>Cherrington</w:t>
      </w:r>
      <w:proofErr w:type="spellEnd"/>
      <w:r w:rsidR="00D537D8" w:rsidRPr="00D537D8">
        <w:t xml:space="preserve"> Hughes, 1922-1982</w:t>
      </w:r>
    </w:p>
    <w:p w:rsidR="0032165E" w:rsidRDefault="00E868F2" w:rsidP="0032165E">
      <w:pPr>
        <w:spacing w:after="0"/>
      </w:pPr>
      <w:r>
        <w:rPr>
          <w:b/>
          <w:bCs/>
        </w:rPr>
        <w:t>Discussion:</w:t>
      </w:r>
      <w:r w:rsidR="00D537D8">
        <w:rPr>
          <w:b/>
          <w:bCs/>
        </w:rPr>
        <w:t xml:space="preserve"> </w:t>
      </w:r>
      <w:r w:rsidR="00AF39EE" w:rsidRPr="001A0617">
        <w:rPr>
          <w:bCs/>
        </w:rPr>
        <w:t>The sociological message of the Quileute</w:t>
      </w:r>
      <w:r w:rsidR="00AF39EE">
        <w:t xml:space="preserve">-Totem Pole myth </w:t>
      </w:r>
      <w:r w:rsidR="001A0617">
        <w:t>coincided with</w:t>
      </w:r>
      <w:r w:rsidR="00AF39EE">
        <w:t xml:space="preserve"> Hughes</w:t>
      </w:r>
      <w:r w:rsidR="001A0617">
        <w:t>’</w:t>
      </w:r>
      <w:r w:rsidR="00AF39EE">
        <w:t xml:space="preserve"> method of gradually exposing </w:t>
      </w:r>
      <w:r w:rsidR="001A0617">
        <w:t>an</w:t>
      </w:r>
      <w:r w:rsidR="00AF39EE">
        <w:t xml:space="preserve"> </w:t>
      </w:r>
      <w:r w:rsidR="001A0617">
        <w:t>entire field study</w:t>
      </w:r>
      <w:r w:rsidR="00AF39EE">
        <w:t xml:space="preserve"> </w:t>
      </w:r>
      <w:r w:rsidR="001A0617">
        <w:t>group</w:t>
      </w:r>
      <w:r w:rsidR="00AF39EE">
        <w:t xml:space="preserve"> to </w:t>
      </w:r>
      <w:r w:rsidR="001A0617">
        <w:t>its</w:t>
      </w:r>
      <w:r w:rsidR="00AF39EE">
        <w:t xml:space="preserve"> individual components </w:t>
      </w:r>
      <w:r w:rsidR="001A0617">
        <w:t xml:space="preserve">and </w:t>
      </w:r>
      <w:r w:rsidR="00AF39EE">
        <w:t xml:space="preserve">of how they were affected by each </w:t>
      </w:r>
      <w:r w:rsidR="001A0617">
        <w:t>separate</w:t>
      </w:r>
      <w:r w:rsidR="00AF39EE">
        <w:t xml:space="preserve"> entity </w:t>
      </w:r>
      <w:r w:rsidR="006E028F">
        <w:t xml:space="preserve">as not </w:t>
      </w:r>
      <w:r w:rsidR="0032165E">
        <w:t xml:space="preserve">as </w:t>
      </w:r>
      <w:r w:rsidR="006E028F">
        <w:t xml:space="preserve">exceptional </w:t>
      </w:r>
      <w:r w:rsidR="0032165E">
        <w:t xml:space="preserve">components </w:t>
      </w:r>
      <w:r w:rsidR="006E028F">
        <w:t xml:space="preserve">but </w:t>
      </w:r>
      <w:r w:rsidR="0032165E">
        <w:t xml:space="preserve">integral to </w:t>
      </w:r>
      <w:r w:rsidR="006E028F">
        <w:t xml:space="preserve">a larger </w:t>
      </w:r>
      <w:r w:rsidR="006E028F" w:rsidRPr="00237ACF">
        <w:rPr>
          <w:i/>
        </w:rPr>
        <w:t>experiential</w:t>
      </w:r>
      <w:r w:rsidR="006E028F">
        <w:t xml:space="preserve"> </w:t>
      </w:r>
      <w:r w:rsidR="006E028F" w:rsidRPr="00237ACF">
        <w:rPr>
          <w:i/>
        </w:rPr>
        <w:t>core</w:t>
      </w:r>
      <w:r w:rsidR="001A0617">
        <w:t xml:space="preserve">. </w:t>
      </w:r>
      <w:bookmarkStart w:id="0" w:name="_GoBack"/>
      <w:bookmarkEnd w:id="0"/>
    </w:p>
    <w:p w:rsidR="00E868F2" w:rsidRDefault="0032165E" w:rsidP="0032165E">
      <w:pPr>
        <w:spacing w:after="0"/>
        <w:rPr>
          <w:b/>
          <w:bCs/>
        </w:rPr>
      </w:pPr>
      <w:r>
        <w:tab/>
      </w:r>
      <w:r w:rsidR="00237ACF">
        <w:t xml:space="preserve">In </w:t>
      </w:r>
      <w:r w:rsidR="00237ACF" w:rsidRPr="001A0617">
        <w:rPr>
          <w:bCs/>
        </w:rPr>
        <w:t>the Quileute</w:t>
      </w:r>
      <w:r w:rsidR="00237ACF">
        <w:t xml:space="preserve">-Totem Pole myth all seven entities are part of the larger totemic structure. </w:t>
      </w:r>
      <w:r w:rsidR="001A0617">
        <w:t xml:space="preserve">This would counter those who see in Hughes’ orientation a search for a broader </w:t>
      </w:r>
      <w:r w:rsidR="001A0617" w:rsidRPr="00237ACF">
        <w:rPr>
          <w:i/>
        </w:rPr>
        <w:t>theoretical</w:t>
      </w:r>
      <w:r w:rsidR="001A0617">
        <w:t xml:space="preserve"> core rather than seeing his orientation to a broader </w:t>
      </w:r>
      <w:r w:rsidR="001A0617" w:rsidRPr="00237ACF">
        <w:rPr>
          <w:i/>
        </w:rPr>
        <w:t>methodological orientation</w:t>
      </w:r>
      <w:r w:rsidR="001A0617">
        <w:t xml:space="preserve"> to sociological fieldwork</w:t>
      </w:r>
      <w:r w:rsidR="006E028F">
        <w:t xml:space="preserve">: a theoretical frame of reference </w:t>
      </w:r>
      <w:r w:rsidR="00237ACF">
        <w:t xml:space="preserve">that </w:t>
      </w:r>
      <w:r>
        <w:t>informs</w:t>
      </w:r>
      <w:r w:rsidR="006E028F">
        <w:t xml:space="preserve"> classical </w:t>
      </w:r>
      <w:r w:rsidR="006E028F" w:rsidRPr="006E028F">
        <w:t>ecological theory</w:t>
      </w:r>
      <w:r w:rsidR="006E028F">
        <w:t xml:space="preserve"> (human ecology, functionalism, and a</w:t>
      </w:r>
      <w:r w:rsidR="006E028F" w:rsidRPr="006E028F">
        <w:t xml:space="preserve"> Weber</w:t>
      </w:r>
      <w:r w:rsidR="006E028F">
        <w:t xml:space="preserve">ian analysis of class, status and political power) with a proto-dependency analysis </w:t>
      </w:r>
      <w:r w:rsidR="00237ACF">
        <w:t xml:space="preserve">based on </w:t>
      </w:r>
      <w:r>
        <w:t>the</w:t>
      </w:r>
      <w:r w:rsidR="00237ACF">
        <w:t xml:space="preserve"> </w:t>
      </w:r>
      <w:r w:rsidR="006E028F">
        <w:t>1930’s industrialization</w:t>
      </w:r>
      <w:r w:rsidR="00237ACF">
        <w:t xml:space="preserve"> </w:t>
      </w:r>
      <w:r w:rsidR="006E028F">
        <w:t>of Quebec, in particular (</w:t>
      </w:r>
      <w:proofErr w:type="spellStart"/>
      <w:r w:rsidR="006E028F">
        <w:t>Helmes</w:t>
      </w:r>
      <w:proofErr w:type="spellEnd"/>
      <w:r w:rsidR="006E028F">
        <w:t>-Hayes 2000). Says Hughes to this, “</w:t>
      </w:r>
      <w:proofErr w:type="gramStart"/>
      <w:r w:rsidR="006E028F">
        <w:t>if</w:t>
      </w:r>
      <w:proofErr w:type="gramEnd"/>
      <w:r w:rsidR="006E028F">
        <w:t xml:space="preserve"> one quite clearly sees something happen once, it is almost certain to have happened again and again. The burden of proof is on those who claim a thing once seen is an exception; if they look hard, they may find it everywhere, although with some interesting differences in each case” (Hughes 1984, xviii-xix).</w:t>
      </w:r>
    </w:p>
    <w:p w:rsidR="00E868F2" w:rsidRDefault="00E868F2" w:rsidP="0032165E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237ACF" w:rsidRPr="00237ACF" w:rsidRDefault="00237ACF" w:rsidP="0032165E">
      <w:pPr>
        <w:spacing w:after="0" w:line="240" w:lineRule="auto"/>
        <w:rPr>
          <w:color w:val="000000" w:themeColor="text1"/>
        </w:rPr>
      </w:pPr>
      <w:r w:rsidRPr="00237ACF">
        <w:rPr>
          <w:rFonts w:eastAsia="Times New Roman" w:cs="Times New Roman"/>
          <w:szCs w:val="24"/>
        </w:rPr>
        <w:t>Powell</w:t>
      </w:r>
      <w:r>
        <w:rPr>
          <w:rFonts w:eastAsia="Times New Roman" w:cs="Times New Roman"/>
          <w:szCs w:val="24"/>
        </w:rPr>
        <w:t>, J. V. and</w:t>
      </w:r>
      <w:r w:rsidRPr="00237ACF">
        <w:rPr>
          <w:rFonts w:eastAsia="Times New Roman" w:cs="Times New Roman"/>
          <w:szCs w:val="24"/>
        </w:rPr>
        <w:t xml:space="preserve"> Vickie Jensen</w:t>
      </w:r>
      <w:r>
        <w:rPr>
          <w:rFonts w:eastAsia="Times New Roman" w:cs="Times New Roman"/>
          <w:szCs w:val="24"/>
        </w:rPr>
        <w:t xml:space="preserve">. 1976. </w:t>
      </w:r>
      <w:r w:rsidRPr="0032165E">
        <w:rPr>
          <w:i/>
          <w:color w:val="000000" w:themeColor="text1"/>
        </w:rPr>
        <w:t>Quileute: an introduction to the Indians of La Push.</w:t>
      </w:r>
      <w:r>
        <w:rPr>
          <w:color w:val="000000" w:themeColor="text1"/>
        </w:rPr>
        <w:t xml:space="preserve"> </w:t>
      </w:r>
      <w:r>
        <w:rPr>
          <w:rFonts w:eastAsia="Times New Roman" w:cs="Times New Roman"/>
          <w:szCs w:val="24"/>
        </w:rPr>
        <w:t>Seattle</w:t>
      </w:r>
      <w:r w:rsidRPr="00237ACF">
        <w:rPr>
          <w:rFonts w:eastAsia="Times New Roman" w:cs="Times New Roman"/>
          <w:szCs w:val="24"/>
        </w:rPr>
        <w:t>: University of Washington Press</w:t>
      </w:r>
      <w:r w:rsidR="0032165E">
        <w:rPr>
          <w:rFonts w:eastAsia="Times New Roman" w:cs="Times New Roman"/>
          <w:szCs w:val="24"/>
        </w:rPr>
        <w:t>.</w:t>
      </w:r>
    </w:p>
    <w:p w:rsidR="00237ACF" w:rsidRPr="00237ACF" w:rsidRDefault="00237ACF" w:rsidP="0032165E">
      <w:pPr>
        <w:spacing w:after="0" w:line="240" w:lineRule="auto"/>
        <w:rPr>
          <w:rFonts w:eastAsia="Times New Roman" w:cs="Times New Roman"/>
          <w:szCs w:val="24"/>
        </w:rPr>
      </w:pPr>
    </w:p>
    <w:p w:rsidR="00237ACF" w:rsidRDefault="006E028F" w:rsidP="0032165E">
      <w:pPr>
        <w:spacing w:after="0"/>
      </w:pPr>
      <w:proofErr w:type="spellStart"/>
      <w:r>
        <w:t>Helmes</w:t>
      </w:r>
      <w:proofErr w:type="spellEnd"/>
      <w:r>
        <w:t>-Hayes</w:t>
      </w:r>
      <w:r w:rsidR="00237ACF">
        <w:t>, Richard.</w:t>
      </w:r>
      <w:r>
        <w:t xml:space="preserve"> 2000</w:t>
      </w:r>
      <w:r w:rsidR="00237ACF">
        <w:t>. “</w:t>
      </w:r>
      <w:r w:rsidR="0032165E" w:rsidRPr="0032165E">
        <w:t>The concept of social class: The contribution of Everett Hughes</w:t>
      </w:r>
      <w:r w:rsidR="00237ACF">
        <w:t>,</w:t>
      </w:r>
      <w:r w:rsidR="0032165E">
        <w:t xml:space="preserve">” </w:t>
      </w:r>
      <w:r w:rsidR="0032165E" w:rsidRPr="0032165E">
        <w:rPr>
          <w:i/>
        </w:rPr>
        <w:t>Journal of the History of the Behavioral Sciences</w:t>
      </w:r>
      <w:r w:rsidR="0032165E">
        <w:t>, 36(2): 127-147.</w:t>
      </w:r>
    </w:p>
    <w:p w:rsidR="0032165E" w:rsidRDefault="0032165E" w:rsidP="0032165E">
      <w:pPr>
        <w:spacing w:after="0"/>
      </w:pPr>
    </w:p>
    <w:p w:rsidR="0032165E" w:rsidRDefault="0032165E" w:rsidP="0032165E">
      <w:pPr>
        <w:spacing w:after="0"/>
      </w:pPr>
      <w:r>
        <w:t xml:space="preserve">Hughes, Everett </w:t>
      </w:r>
      <w:proofErr w:type="spellStart"/>
      <w:r>
        <w:t>Cherrington</w:t>
      </w:r>
      <w:proofErr w:type="spellEnd"/>
      <w:r>
        <w:t xml:space="preserve"> and David Riesman.</w:t>
      </w:r>
      <w:r w:rsidR="00237ACF">
        <w:t xml:space="preserve"> 1984</w:t>
      </w:r>
      <w:r>
        <w:t>.</w:t>
      </w:r>
      <w:r w:rsidR="00237ACF">
        <w:t xml:space="preserve"> </w:t>
      </w:r>
      <w:r w:rsidRPr="0032165E">
        <w:rPr>
          <w:i/>
        </w:rPr>
        <w:t>The sociological eye</w:t>
      </w:r>
      <w:r>
        <w:t xml:space="preserve">. </w:t>
      </w:r>
      <w:r>
        <w:rPr>
          <w:rStyle w:val="itempublisher"/>
        </w:rPr>
        <w:t>New Brunswick, NJ: Transaction Books.</w:t>
      </w:r>
    </w:p>
    <w:p w:rsidR="00E868F2" w:rsidRDefault="00E868F2" w:rsidP="0032165E">
      <w:pPr>
        <w:spacing w:after="0"/>
      </w:pPr>
    </w:p>
    <w:p w:rsidR="00E868F2" w:rsidRDefault="00E868F2" w:rsidP="0032165E">
      <w:pPr>
        <w:spacing w:after="0"/>
      </w:pPr>
    </w:p>
    <w:sectPr w:rsidR="00E868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4C5"/>
    <w:rsid w:val="00151F1C"/>
    <w:rsid w:val="0017343F"/>
    <w:rsid w:val="001A0617"/>
    <w:rsid w:val="00237ACF"/>
    <w:rsid w:val="0032165E"/>
    <w:rsid w:val="00406720"/>
    <w:rsid w:val="00442A5F"/>
    <w:rsid w:val="005002D6"/>
    <w:rsid w:val="006E028F"/>
    <w:rsid w:val="007725BE"/>
    <w:rsid w:val="00776988"/>
    <w:rsid w:val="00803B45"/>
    <w:rsid w:val="00871E75"/>
    <w:rsid w:val="0095024E"/>
    <w:rsid w:val="00AF39EE"/>
    <w:rsid w:val="00B42031"/>
    <w:rsid w:val="00BF182D"/>
    <w:rsid w:val="00D36834"/>
    <w:rsid w:val="00D537D8"/>
    <w:rsid w:val="00DF04C5"/>
    <w:rsid w:val="00E868F2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79A81-2123-4F5D-9825-5BFD3875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E868F2"/>
    <w:rPr>
      <w:b/>
      <w:bCs/>
    </w:rPr>
  </w:style>
  <w:style w:type="paragraph" w:styleId="NormalWeb">
    <w:name w:val="Normal (Web)"/>
    <w:basedOn w:val="Normal"/>
    <w:uiPriority w:val="99"/>
    <w:unhideWhenUsed/>
    <w:rsid w:val="005002D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5002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002D6"/>
    <w:rPr>
      <w:color w:val="954F72" w:themeColor="followedHyperlink"/>
      <w:u w:val="single"/>
    </w:rPr>
  </w:style>
  <w:style w:type="character" w:customStyle="1" w:styleId="ipa">
    <w:name w:val="ipa"/>
    <w:basedOn w:val="DefaultParagraphFont"/>
    <w:rsid w:val="005002D6"/>
  </w:style>
  <w:style w:type="character" w:customStyle="1" w:styleId="itemtype">
    <w:name w:val="itemtype"/>
    <w:basedOn w:val="DefaultParagraphFont"/>
    <w:rsid w:val="00237ACF"/>
  </w:style>
  <w:style w:type="character" w:customStyle="1" w:styleId="itemlanguage">
    <w:name w:val="itemlanguage"/>
    <w:basedOn w:val="DefaultParagraphFont"/>
    <w:rsid w:val="00237ACF"/>
  </w:style>
  <w:style w:type="character" w:customStyle="1" w:styleId="itempublisher">
    <w:name w:val="itempublisher"/>
    <w:basedOn w:val="DefaultParagraphFont"/>
    <w:rsid w:val="00237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2017-10-22T16:24:00Z</dcterms:created>
  <dcterms:modified xsi:type="dcterms:W3CDTF">2017-11-06T21:59:00Z</dcterms:modified>
</cp:coreProperties>
</file>