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5.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w:t>
      </w:r>
      <w:r>
        <w:rPr>
          <w:rStyle w:val="Emphasis"/>
        </w:rPr>
        <w:t>Maquetaurie Guava</w:t>
      </w:r>
      <w:r>
        <w:rPr/>
        <w:t>-Lord of the Dead-Conch Shell-1000 CE</w:t>
      </w:r>
    </w:p>
    <w:p>
      <w:pPr>
        <w:pStyle w:val="Normal"/>
        <w:rPr/>
      </w:pPr>
      <w:r>
        <w:rPr/>
      </w:r>
    </w:p>
    <w:p>
      <w:pPr>
        <w:pStyle w:val="Normal"/>
        <w:rPr/>
      </w:pPr>
      <w:r>
        <w:rPr>
          <w:lang w:val="en-US" w:eastAsia="en-US"/>
        </w:rPr>
        <w:drawing>
          <wp:inline distT="0" distB="0" distL="0" distR="0">
            <wp:extent cx="2778760" cy="311785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10" t="-9" r="-10" b="-9"/>
                    <a:stretch>
                      <a:fillRect/>
                    </a:stretch>
                  </pic:blipFill>
                  <pic:spPr bwMode="auto">
                    <a:xfrm>
                      <a:off x="0" y="0"/>
                      <a:ext cx="2778760" cy="3117850"/>
                    </a:xfrm>
                    <a:prstGeom prst="rect">
                      <a:avLst/>
                    </a:prstGeom>
                  </pic:spPr>
                </pic:pic>
              </a:graphicData>
            </a:graphic>
          </wp:inline>
        </w:drawing>
      </w:r>
      <w:r>
        <w:rPr/>
        <w:t xml:space="preserve"> </w:t>
      </w:r>
      <w:r>
        <w:rPr/>
        <w:drawing>
          <wp:inline distT="0" distB="0" distL="0" distR="0">
            <wp:extent cx="2223135" cy="31248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8" t="-6" r="-8" b="-6"/>
                    <a:stretch>
                      <a:fillRect/>
                    </a:stretch>
                  </pic:blipFill>
                  <pic:spPr bwMode="auto">
                    <a:xfrm>
                      <a:off x="0" y="0"/>
                      <a:ext cx="2223135" cy="3124835"/>
                    </a:xfrm>
                    <a:prstGeom prst="rect">
                      <a:avLst/>
                    </a:prstGeom>
                  </pic:spPr>
                </pic:pic>
              </a:graphicData>
            </a:graphic>
          </wp:inline>
        </w:drawing>
      </w:r>
    </w:p>
    <w:p>
      <w:pPr>
        <w:pStyle w:val="Normal"/>
        <w:rPr/>
      </w:pPr>
      <w:r>
        <w:rPr/>
        <w:drawing>
          <wp:inline distT="0" distB="0" distL="0" distR="0">
            <wp:extent cx="2652395" cy="301180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7" t="-6" r="-7" b="-6"/>
                    <a:stretch>
                      <a:fillRect/>
                    </a:stretch>
                  </pic:blipFill>
                  <pic:spPr bwMode="auto">
                    <a:xfrm>
                      <a:off x="0" y="0"/>
                      <a:ext cx="2652395" cy="3011805"/>
                    </a:xfrm>
                    <a:prstGeom prst="rect">
                      <a:avLst/>
                    </a:prstGeom>
                  </pic:spPr>
                </pic:pic>
              </a:graphicData>
            </a:graphic>
          </wp:inline>
        </w:drawing>
      </w:r>
      <w:r>
        <w:rPr/>
        <w:drawing>
          <wp:inline distT="0" distB="0" distL="0" distR="0">
            <wp:extent cx="2999105" cy="300736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7" t="-7" r="-7" b="-7"/>
                    <a:stretch>
                      <a:fillRect/>
                    </a:stretch>
                  </pic:blipFill>
                  <pic:spPr bwMode="auto">
                    <a:xfrm>
                      <a:off x="0" y="0"/>
                      <a:ext cx="2999105" cy="3007360"/>
                    </a:xfrm>
                    <a:prstGeom prst="rect">
                      <a:avLst/>
                    </a:prstGeom>
                  </pic:spPr>
                </pic:pic>
              </a:graphicData>
            </a:graphic>
          </wp:inline>
        </w:drawing>
      </w:r>
    </w:p>
    <w:p>
      <w:pPr>
        <w:pStyle w:val="Normal"/>
        <w:rPr/>
      </w:pPr>
      <w:r>
        <w:rPr/>
        <w:t>Figs. 1-3. AM,C-Taino-Cemi-</w:t>
      </w:r>
      <w:r>
        <w:rPr>
          <w:rStyle w:val="Emphasis"/>
        </w:rPr>
        <w:t>Maquetaurie Guava</w:t>
      </w:r>
      <w:r>
        <w:rPr/>
        <w:t>-Lord of the Dead-Conch Shell-1000 CE</w:t>
      </w:r>
    </w:p>
    <w:p>
      <w:pPr>
        <w:pStyle w:val="Normal"/>
        <w:rPr/>
      </w:pPr>
      <w:r>
        <w:rPr>
          <w:rStyle w:val="StrongEmphasis"/>
        </w:rPr>
        <w:t>Case No.: 18</w:t>
      </w:r>
    </w:p>
    <w:p>
      <w:pPr>
        <w:pStyle w:val="Normal"/>
        <w:rPr/>
      </w:pPr>
      <w:r>
        <w:rPr>
          <w:b/>
        </w:rPr>
        <w:t>Accession No.</w:t>
      </w:r>
    </w:p>
    <w:p>
      <w:pPr>
        <w:pStyle w:val="Normal"/>
        <w:rPr>
          <w:b/>
          <w:b/>
        </w:rPr>
      </w:pPr>
      <w:r>
        <w:rPr>
          <w:b/>
        </w:rPr>
        <w:t xml:space="preserve">Formal Label: </w:t>
      </w:r>
      <w:r>
        <w:rPr/>
        <w:t>AM,C-Taino-Cemi-</w:t>
      </w:r>
      <w:r>
        <w:rPr>
          <w:rStyle w:val="Emphasis"/>
        </w:rPr>
        <w:t>Maquetaurie Guava</w:t>
      </w:r>
      <w:r>
        <w:rPr/>
        <w:t>-Lord of the Dead-Conch Shell-1000 CE</w:t>
      </w:r>
    </w:p>
    <w:p>
      <w:pPr>
        <w:pStyle w:val="Normal"/>
        <w:rPr>
          <w:b/>
          <w:b/>
        </w:rPr>
      </w:pPr>
      <w:r>
        <w:rPr>
          <w:b/>
        </w:rPr>
        <w:t>Display Description:</w:t>
      </w:r>
    </w:p>
    <w:p>
      <w:pPr>
        <w:pStyle w:val="Normal"/>
        <w:rPr/>
      </w:pPr>
      <w:r>
        <w:rPr/>
        <w:t xml:space="preserve">This depiction of </w:t>
      </w:r>
      <w:r>
        <w:rPr>
          <w:rStyle w:val="Emphasis"/>
        </w:rPr>
        <w:t>Maquetaurie Guava</w:t>
      </w:r>
      <w:r>
        <w:rPr/>
        <w:t xml:space="preserve">-Lord of the Dead-as a truncated individual indicates the robes traditionally worn by such personages. Significant also is his headgear which appears like an “overseas cap” with a central ridge framed by two flat near vertical borders. The use of </w:t>
      </w:r>
      <w:r>
        <w:rPr>
          <w:rStyle w:val="Emphasis"/>
        </w:rPr>
        <w:t>Maquetaurie Guava</w:t>
      </w:r>
      <w:r>
        <w:rPr/>
        <w:t xml:space="preserve">-is also significant metaphorically, since one has to die to one’s present self in order to experience a true </w:t>
      </w:r>
      <w:r>
        <w:rPr>
          <w:i/>
        </w:rPr>
        <w:t>metanoia</w:t>
      </w:r>
      <w:r>
        <w:rPr/>
        <w:t xml:space="preserve"> with the effects of </w:t>
      </w:r>
      <w:r>
        <w:rPr>
          <w:i/>
        </w:rPr>
        <w:t>cohoba.</w:t>
      </w:r>
      <w:r>
        <w:rPr/>
        <w:t xml:space="preserve"> So, here is </w:t>
      </w:r>
      <w:r>
        <w:rPr>
          <w:rStyle w:val="Emphasis"/>
        </w:rPr>
        <w:t>Maquetaurie Guava</w:t>
      </w:r>
      <w:r>
        <w:rPr/>
        <w:t xml:space="preserve"> to act as a psychopomp to help us on our way. </w:t>
      </w:r>
    </w:p>
    <w:p>
      <w:pPr>
        <w:pStyle w:val="NormalWeb"/>
        <w:rPr/>
      </w:pPr>
      <w:r>
        <w:rPr>
          <w:b/>
          <w:bCs/>
          <w:smallCaps/>
          <w:color w:val="000000"/>
        </w:rPr>
        <w:tab/>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
        <w:rPr>
          <w:b/>
          <w:b/>
        </w:rPr>
      </w:pPr>
      <w:r>
        <w:rPr>
          <w:b/>
        </w:rPr>
      </w:r>
    </w:p>
    <w:p>
      <w:pPr>
        <w:pStyle w:val="NormalWeb"/>
        <w:shd w:fill="EEEEEE" w:val="clear"/>
        <w:rPr>
          <w:color w:val="000000"/>
        </w:rPr>
      </w:pPr>
      <w:r>
        <w:rPr>
          <w:rStyle w:val="Notranslate"/>
        </w:rPr>
        <w:t xml:space="preserve">The Tainos believed that the dead went to </w:t>
      </w:r>
      <w:r>
        <w:rPr>
          <w:rStyle w:val="Emphasis"/>
        </w:rPr>
        <w:t>Coaybay</w:t>
      </w:r>
      <w:r>
        <w:rPr>
          <w:rStyle w:val="Notranslate"/>
        </w:rPr>
        <w:t xml:space="preserve"> ( </w:t>
      </w:r>
      <w:r>
        <w:rPr>
          <w:rStyle w:val="Emphasis"/>
        </w:rPr>
        <w:t>"abode of the absent")</w:t>
      </w:r>
      <w:r>
        <w:rPr>
          <w:rStyle w:val="Notranslate"/>
        </w:rPr>
        <w:t xml:space="preserve"> at the end of an island called Soraya.</w:t>
      </w:r>
      <w:r>
        <w:rPr/>
        <w:t xml:space="preserve"> </w:t>
      </w:r>
      <w:r>
        <w:rPr>
          <w:rStyle w:val="Notranslate"/>
        </w:rPr>
        <w:t xml:space="preserve">A place in the distance, inaccessible to the living, governed by </w:t>
      </w:r>
      <w:hyperlink r:id="rId6" w:tgtFrame="_blank">
        <w:r>
          <w:rPr>
            <w:rStyle w:val="Emphasis"/>
            <w:color w:val="0000FF"/>
            <w:u w:val="single"/>
          </w:rPr>
          <w:t>Maquetaurie Guava</w:t>
        </w:r>
      </w:hyperlink>
      <w:r>
        <w:rPr>
          <w:rStyle w:val="Notranslate"/>
        </w:rPr>
        <w:t xml:space="preserve"> ;</w:t>
      </w:r>
      <w:r>
        <w:rPr/>
        <w:t xml:space="preserve"> </w:t>
      </w:r>
      <w:r>
        <w:rPr>
          <w:rStyle w:val="Notranslate"/>
        </w:rPr>
        <w:t>It is an independent space with an independent leader.</w:t>
      </w:r>
      <w:r>
        <w:rPr/>
        <w:t xml:space="preserve"> </w:t>
      </w:r>
      <w:r>
        <w:rPr>
          <w:rStyle w:val="Emphasis"/>
          <w:color w:val="000000"/>
        </w:rPr>
        <w:t>Opias</w:t>
      </w:r>
      <w:r>
        <w:rPr>
          <w:rStyle w:val="Notranslate"/>
          <w:color w:val="000000"/>
        </w:rPr>
        <w:t> (or </w:t>
      </w:r>
      <w:r>
        <w:rPr>
          <w:rStyle w:val="Emphasis"/>
          <w:color w:val="000000"/>
        </w:rPr>
        <w:t>hupias</w:t>
      </w:r>
      <w:r>
        <w:rPr>
          <w:rStyle w:val="Notranslate"/>
          <w:color w:val="000000"/>
        </w:rPr>
        <w:t> ) - spirits of the dead, who like Opiyelguobirán are irreverent and mocking - enjoy cheating the living.They sleep during the day and go out at night to eat guava, whose juice produces a black paint with which they symbolized death.</w:t>
      </w:r>
    </w:p>
    <w:p>
      <w:pPr>
        <w:pStyle w:val="NormalWeb"/>
        <w:shd w:fill="EEEEEE" w:val="clear"/>
        <w:rPr>
          <w:color w:val="000000"/>
        </w:rPr>
      </w:pPr>
      <w:r>
        <w:rPr>
          <w:rStyle w:val="Emphasis"/>
        </w:rPr>
        <w:t>Maquetaurie Guava</w:t>
      </w:r>
      <w:r>
        <w:rPr>
          <w:rStyle w:val="Notranslate"/>
          <w:color w:val="000000"/>
        </w:rPr>
        <w:t>’s function was to maintain the balance between the antagonistic forces of the day (order, world of the living) and night (disorder, world of the dead).</w:t>
      </w:r>
    </w:p>
    <w:p>
      <w:pPr>
        <w:pStyle w:val="Normal"/>
        <w:rPr/>
      </w:pPr>
      <w:r>
        <w:rPr>
          <w:rStyle w:val="StrongEmphasis"/>
        </w:rPr>
        <w:t>The lord of the dead</w:t>
      </w:r>
      <w:r>
        <w:rPr/>
        <w:t xml:space="preserve"> </w:t>
      </w:r>
    </w:p>
    <w:p>
      <w:pPr>
        <w:pStyle w:val="NormalWeb"/>
        <w:rPr/>
      </w:pPr>
      <w:r>
        <w:rPr>
          <w:rStyle w:val="Emphasis"/>
        </w:rPr>
        <w:t>"Dog fasting, abstinence guava".</w:t>
      </w:r>
      <w:r>
        <w:rPr/>
        <w:t xml:space="preserve"> </w:t>
      </w:r>
      <w:r>
        <w:rPr>
          <w:rStyle w:val="Notranslate"/>
        </w:rPr>
        <w:t xml:space="preserve">He is the lord of </w:t>
      </w:r>
      <w:r>
        <w:rPr>
          <w:rStyle w:val="Emphasis"/>
        </w:rPr>
        <w:t>Coaybay</w:t>
      </w:r>
      <w:r>
        <w:rPr>
          <w:rStyle w:val="Notranslate"/>
        </w:rPr>
        <w:t xml:space="preserve"> - </w:t>
      </w:r>
      <w:r>
        <w:rPr>
          <w:rStyle w:val="Emphasis"/>
        </w:rPr>
        <w:t>"Abode of the absent"</w:t>
      </w:r>
      <w:r>
        <w:rPr>
          <w:rStyle w:val="Notranslate"/>
        </w:rPr>
        <w:t xml:space="preserve"> in the region of Soraya-, responsible for manter guard and watch the rest of the space where absent.</w:t>
      </w:r>
      <w:r>
        <w:rPr/>
        <w:t xml:space="preserve"> </w:t>
      </w:r>
    </w:p>
    <w:p>
      <w:pPr>
        <w:pStyle w:val="Normal"/>
        <w:rPr/>
      </w:pPr>
      <w:r>
        <w:rPr>
          <w:rStyle w:val="Notranslate"/>
        </w:rPr>
        <w:t xml:space="preserve">The </w:t>
      </w:r>
      <w:r>
        <w:rPr>
          <w:rStyle w:val="Emphasis"/>
        </w:rPr>
        <w:t>opy</w:t>
      </w:r>
      <w:r>
        <w:rPr>
          <w:rStyle w:val="Notranslate"/>
        </w:rPr>
        <w:t xml:space="preserve"> (or </w:t>
      </w:r>
      <w:r>
        <w:rPr>
          <w:rStyle w:val="Emphasis"/>
        </w:rPr>
        <w:t>hupías)-spirits</w:t>
      </w:r>
      <w:r>
        <w:rPr>
          <w:rStyle w:val="Notranslate"/>
        </w:rPr>
        <w:t xml:space="preserve"> of the dead, which like Opiyel Guobirán are irreverent and mocking, they enjoy deceive living.</w:t>
      </w:r>
      <w:r>
        <w:rPr/>
        <w:t xml:space="preserve"> </w:t>
      </w:r>
      <w:r>
        <w:rPr>
          <w:rStyle w:val="Notranslate"/>
        </w:rPr>
        <w:t>They sleep during the day and come out at night to eat guava juice which produces a black paint with which symbolize death.</w:t>
      </w:r>
      <w:r>
        <w:rPr/>
        <w:t xml:space="preserve"> </w:t>
      </w:r>
    </w:p>
    <w:p>
      <w:pPr>
        <w:pStyle w:val="NormalWeb"/>
        <w:rPr/>
      </w:pPr>
      <w:r>
        <w:rPr>
          <w:rStyle w:val="Notranslate"/>
        </w:rPr>
        <w:t>Its function was to maintain the balance between the opposing forces of the day (order of the living) and night (disorder, world of the dead).</w:t>
      </w:r>
      <w:r>
        <w:rPr/>
        <w:t xml:space="preserve"> </w:t>
      </w:r>
    </w:p>
    <w:p>
      <w:pPr>
        <w:pStyle w:val="NormalWeb"/>
        <w:rPr/>
      </w:pPr>
      <w:r>
        <w:rPr>
          <w:rStyle w:val="Notranslate"/>
        </w:rPr>
        <w:t xml:space="preserve">So says </w:t>
      </w:r>
      <w:hyperlink r:id="rId7" w:tgtFrame="_blank">
        <w:r>
          <w:rPr>
            <w:rStyle w:val="InternetLink"/>
          </w:rPr>
          <w:t>Ramon Pane</w:t>
        </w:r>
      </w:hyperlink>
      <w:r>
        <w:rPr>
          <w:rStyle w:val="Notranslate"/>
        </w:rPr>
        <w:t xml:space="preserve"> , in Chapters 12 and 13 </w:t>
      </w:r>
      <w:hyperlink r:id="rId8">
        <w:r>
          <w:rPr>
            <w:rStyle w:val="Emphasis"/>
          </w:rPr>
          <w:t>"Relation about the antiques of the Indians"</w:t>
        </w:r>
      </w:hyperlink>
      <w:r>
        <w:rPr>
          <w:rStyle w:val="Notranslate"/>
        </w:rPr>
        <w:t xml:space="preserve"> (after http://pueblosoriginarios.com/centro/antillas/taino/maque.html):</w:t>
      </w:r>
      <w:r>
        <w:rPr/>
        <w:t xml:space="preserve"> </w:t>
      </w:r>
    </w:p>
    <w:p>
      <w:pPr>
        <w:pStyle w:val="NormalWeb"/>
        <w:ind w:start="720" w:hanging="0"/>
        <w:rPr/>
      </w:pPr>
      <w:r>
        <w:rPr>
          <w:rStyle w:val="Notranslate"/>
        </w:rPr>
        <w:t>Chapter 12:</w:t>
      </w:r>
      <w:r>
        <w:rPr/>
        <w:t xml:space="preserve"> </w:t>
      </w:r>
    </w:p>
    <w:p>
      <w:pPr>
        <w:pStyle w:val="NormalWeb"/>
        <w:ind w:start="720" w:hanging="0"/>
        <w:rPr/>
      </w:pPr>
      <w:r>
        <w:rPr>
          <w:rStyle w:val="Emphasis"/>
        </w:rPr>
        <w:t>"They think there is a place to go dead, called Coaibai, which is at one end of the island, called Soraya. The first one was in the Coaibai say it was one called Maquetaurie Guava, who was lord of Coaibai, room house and the dead. "</w:t>
      </w:r>
      <w:r>
        <w:rPr/>
        <w:t xml:space="preserve"> </w:t>
      </w:r>
    </w:p>
    <w:p>
      <w:pPr>
        <w:pStyle w:val="NormalWeb"/>
        <w:ind w:start="720" w:hanging="0"/>
        <w:rPr/>
      </w:pPr>
      <w:r>
        <w:rPr>
          <w:rStyle w:val="Notranslate"/>
        </w:rPr>
        <w:t>Chapter 13:</w:t>
      </w:r>
      <w:r>
        <w:rPr/>
        <w:t xml:space="preserve"> </w:t>
      </w:r>
    </w:p>
    <w:p>
      <w:pPr>
        <w:pStyle w:val="NormalWeb"/>
        <w:ind w:start="720" w:hanging="0"/>
        <w:rPr/>
      </w:pPr>
      <w:r>
        <w:rPr>
          <w:rStyle w:val="Emphasis"/>
        </w:rPr>
        <w:t>"They say that during the day the dead are held;. At night will break and eat some fruit called guabaza, flavored with ... that day are ... [locked] At night, they become in fruit, they have their playground, and they together with the living for the dead are as follows:. that hand will touch the belly, and if they find the navel say it is operito, meaning dead, they say that the dead have no navel, and so is sometimes deceiving, because there noticing this, lie with a woman of the Coaibai, and when they think hug, they have nothing, because suddenly disappears this is what they think today. . about this long as a person Goeiz call the soul lives, and after the call opia dead, the Goeiz say it often appears, and as a man or as a woman, and say there has been man who dared to fight a Goeiz, and wanting to embrace it, it disappeared and Indian arms got away, over some trees, which was hung.</w:t>
      </w:r>
      <w:r>
        <w:rPr/>
        <w:t xml:space="preserve"> </w:t>
      </w:r>
      <w:r>
        <w:rPr>
          <w:rStyle w:val="Emphasis"/>
        </w:rPr>
        <w:t>This I believe everyone in general, as small than their elders, and they are dead appear as father, mother, brothers, relatives, or other forms.</w:t>
      </w:r>
      <w:r>
        <w:rPr/>
        <w:t xml:space="preserve"> </w:t>
      </w:r>
      <w:r>
        <w:rPr>
          <w:rStyle w:val="Emphasis"/>
        </w:rPr>
        <w:t>The fruit of that claim eating the dead, is the size of a peach.</w:t>
      </w:r>
      <w:r>
        <w:rPr/>
        <w:t xml:space="preserve"> </w:t>
      </w:r>
      <w:r>
        <w:rPr>
          <w:rStyle w:val="Emphasis"/>
        </w:rPr>
        <w:t>The dead are not displayed by day, but always at night, and therefore, not without great fear some Indian dares to go alone at night.</w:t>
      </w:r>
      <w:r>
        <w:rPr>
          <w:rStyle w:val="Notranslate"/>
        </w:rPr>
        <w:t xml:space="preserve"> "</w:t>
      </w:r>
      <w:r>
        <w:rPr/>
        <w:t xml:space="preserve"> </w:t>
      </w:r>
    </w:p>
    <w:p>
      <w:pPr>
        <w:pStyle w:val="Normal"/>
        <w:rPr>
          <w:b/>
          <w:b/>
        </w:rPr>
      </w:pPr>
      <w:r>
        <w:rPr>
          <w:b/>
        </w:rPr>
      </w:r>
    </w:p>
    <w:p>
      <w:pPr>
        <w:pStyle w:val="Normal"/>
        <w:rPr>
          <w:b/>
          <w:b/>
        </w:rPr>
      </w:pPr>
      <w:r>
        <w:rPr>
          <w:b/>
        </w:rPr>
        <w:t xml:space="preserve">Dimensions: W 3 in x H 3 7/8 in </w:t>
      </w:r>
    </w:p>
    <w:p>
      <w:pPr>
        <w:pStyle w:val="Normal"/>
        <w:rPr/>
      </w:pPr>
      <w:r>
        <w:rPr/>
        <w:t xml:space="preserve">This Taino cemi features </w:t>
      </w:r>
      <w:r>
        <w:rPr>
          <w:rStyle w:val="Emphasis"/>
        </w:rPr>
        <w:t>Maquetaurie Guava</w:t>
      </w:r>
      <w:r>
        <w:rPr/>
        <w:t>-Lord of the Dead- with his exposed lipless mouth, i</w:t>
      </w:r>
    </w:p>
    <w:p>
      <w:pPr>
        <w:pStyle w:val="Normal"/>
        <w:rPr>
          <w:b/>
          <w:b/>
        </w:rPr>
      </w:pPr>
      <w:r>
        <w:rPr>
          <w:b/>
        </w:rPr>
        <w:t>LC Classification: F 1909</w:t>
      </w:r>
    </w:p>
    <w:p>
      <w:pPr>
        <w:pStyle w:val="Normal"/>
        <w:rPr>
          <w:b/>
          <w:b/>
        </w:rPr>
      </w:pPr>
      <w:r>
        <w:rPr>
          <w:b/>
        </w:rPr>
        <w:t>Date or Time Horizon: 1000 CE</w:t>
      </w:r>
    </w:p>
    <w:p>
      <w:pPr>
        <w:pStyle w:val="Normal"/>
        <w:rPr>
          <w:b/>
          <w:b/>
        </w:rPr>
      </w:pPr>
      <w:r>
        <w:rPr>
          <w:b/>
        </w:rPr>
        <w:t xml:space="preserve">Geographical Area: </w:t>
      </w:r>
      <w:r>
        <w:rPr/>
        <w:t>From Eastern Hispaniola, i.e., the Dominican Republic</w:t>
      </w:r>
    </w:p>
    <w:p>
      <w:pPr>
        <w:pStyle w:val="Normal"/>
        <w:rPr>
          <w:b/>
          <w:b/>
        </w:rPr>
      </w:pPr>
      <w:r>
        <w:rPr>
          <w:b/>
        </w:rPr>
        <w:t>Map:</w:t>
      </w:r>
    </w:p>
    <w:p>
      <w:pPr>
        <w:pStyle w:val="Normal"/>
        <w:rPr>
          <w:b/>
          <w:b/>
        </w:rPr>
      </w:pPr>
      <w:r>
        <w:rPr>
          <w:b/>
        </w:rPr>
      </w:r>
    </w:p>
    <w:p>
      <w:pPr>
        <w:pStyle w:val="Normal"/>
        <w:rPr>
          <w:b/>
          <w:b/>
        </w:rPr>
      </w:pPr>
      <w:r>
        <w:rPr>
          <w:lang w:val="en-US" w:eastAsia="en-US"/>
        </w:rPr>
        <w:drawing>
          <wp:inline distT="0" distB="0" distL="0" distR="0">
            <wp:extent cx="5946775" cy="325183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9"/>
                    <a:srcRect l="-5" t="-9" r="-5" b="-9"/>
                    <a:stretch>
                      <a:fillRect/>
                    </a:stretch>
                  </pic:blipFill>
                  <pic:spPr bwMode="auto">
                    <a:xfrm>
                      <a:off x="0" y="0"/>
                      <a:ext cx="5946775" cy="3251835"/>
                    </a:xfrm>
                    <a:prstGeom prst="rect">
                      <a:avLst/>
                    </a:prstGeom>
                  </pic:spPr>
                </pic:pic>
              </a:graphicData>
            </a:graphic>
          </wp:inline>
        </w:drawing>
      </w:r>
    </w:p>
    <w:p>
      <w:pPr>
        <w:pStyle w:val="Normal"/>
        <w:rPr/>
      </w:pPr>
      <w:r>
        <w:rPr/>
        <w:t>Caribbean c 1500 after http://www.latinamericanstudies.org/maps/Ciboney-Taino-Carib-</w:t>
      </w:r>
    </w:p>
    <w:p>
      <w:pPr>
        <w:pStyle w:val="Normal"/>
        <w:rPr>
          <w:b/>
          <w:b/>
        </w:rPr>
      </w:pPr>
      <w:r>
        <w:rPr>
          <w:b/>
        </w:rPr>
        <w:t>GPS coordinates:</w:t>
      </w:r>
    </w:p>
    <w:p>
      <w:pPr>
        <w:pStyle w:val="Normal"/>
        <w:rPr>
          <w:b/>
          <w:b/>
        </w:rPr>
      </w:pPr>
      <w:r>
        <w:rPr>
          <w:b/>
        </w:rPr>
        <w:t xml:space="preserve">Cultural Affiliation: </w:t>
      </w:r>
      <w:r>
        <w:rPr/>
        <w:t>Classic Taino</w:t>
      </w:r>
    </w:p>
    <w:p>
      <w:pPr>
        <w:pStyle w:val="Normal"/>
        <w:rPr/>
      </w:pPr>
      <w:r>
        <w:rPr>
          <w:b/>
        </w:rPr>
        <w:t xml:space="preserve">Medium: </w:t>
      </w:r>
      <w:r>
        <w:rPr/>
        <w:t>Manatee rib</w:t>
      </w:r>
    </w:p>
    <w:p>
      <w:pPr>
        <w:pStyle w:val="Normal"/>
        <w:rPr>
          <w:b/>
          <w:b/>
        </w:rPr>
      </w:pPr>
      <w:r>
        <w:rPr>
          <w:b/>
        </w:rPr>
        <w:t xml:space="preserve">Dimensions: </w:t>
      </w:r>
      <w:r>
        <w:rPr/>
        <w:t>Length 7.9 cm. or 3.1 in.</w:t>
      </w:r>
    </w:p>
    <w:p>
      <w:pPr>
        <w:pStyle w:val="Normal"/>
        <w:rPr>
          <w:b/>
          <w:b/>
        </w:rPr>
      </w:pPr>
      <w:r>
        <w:rPr>
          <w:b/>
        </w:rPr>
        <w:t xml:space="preserve">Weight:  </w:t>
      </w:r>
    </w:p>
    <w:p>
      <w:pPr>
        <w:pStyle w:val="Normal"/>
        <w:rPr>
          <w:b/>
          <w:b/>
        </w:rPr>
      </w:pPr>
      <w:r>
        <w:rPr>
          <w:b/>
        </w:rPr>
        <w:t xml:space="preserve">Condition: </w:t>
      </w:r>
      <w:r>
        <w:rPr/>
        <w:t>original, intact</w:t>
      </w:r>
    </w:p>
    <w:p>
      <w:pPr>
        <w:pStyle w:val="Normal"/>
        <w:rPr>
          <w:b/>
          <w:b/>
        </w:rPr>
      </w:pPr>
      <w:r>
        <w:rPr>
          <w:b/>
        </w:rPr>
        <w:t xml:space="preserve">Provenance: </w:t>
      </w:r>
      <w:r>
        <w:rPr/>
        <w:t>From Eastern Hispaniola, i.e., the Dominican Republic</w:t>
      </w:r>
    </w:p>
    <w:p>
      <w:pPr>
        <w:pStyle w:val="Normal"/>
        <w:rPr>
          <w:b/>
          <w:b/>
        </w:rPr>
      </w:pPr>
      <w:r>
        <w:rPr>
          <w:b/>
        </w:rPr>
        <w:t>Discussion:</w:t>
      </w:r>
    </w:p>
    <w:p>
      <w:pPr>
        <w:pStyle w:val="Normal"/>
        <w:rPr/>
      </w:pPr>
      <w:r>
        <w:rPr/>
        <w:t>Since this cemi has a “V” shape, it is possible that this was going to be drilled to act as a</w:t>
      </w:r>
      <w:r>
        <w:rPr>
          <w:i/>
        </w:rPr>
        <w:t xml:space="preserve"> cohoba</w:t>
      </w:r>
      <w:r>
        <w:rPr/>
        <w:t xml:space="preserve"> inhaler.</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
        <w:rPr>
          <w:b/>
          <w:b/>
        </w:rPr>
      </w:pPr>
      <w:r>
        <w:rPr>
          <w:b/>
        </w:rPr>
        <w:t>References:</w:t>
      </w:r>
      <w:r>
        <w:rPr>
          <w:iCs/>
          <w:color w:val="000000"/>
          <w:szCs w:val="15"/>
        </w:rPr>
        <w:t xml:space="preserve"> </w:t>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color w:val="000000"/>
          <w:szCs w:val="15"/>
        </w:rPr>
        <w:t xml:space="preserve">1985, pp. 65-71, Puerto Rico. </w:t>
      </w:r>
    </w:p>
    <w:p>
      <w:pPr>
        <w:pStyle w:val="Normal"/>
        <w:ind w:start="144" w:end="144" w:hanging="0"/>
        <w:rPr>
          <w:iCs/>
          <w:color w:val="000000"/>
          <w:szCs w:val="15"/>
        </w:rPr>
      </w:pPr>
      <w:r>
        <w:rPr>
          <w:iCs/>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Coe, W. R., II </w:t>
      </w:r>
    </w:p>
    <w:p>
      <w:pPr>
        <w:pStyle w:val="Style14"/>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4"/>
        <w:ind w:start="144" w:end="144" w:hanging="0"/>
        <w:rPr>
          <w:iCs/>
          <w:color w:val="000000"/>
          <w:sz w:val="24"/>
          <w:szCs w:val="15"/>
        </w:rPr>
      </w:pPr>
      <w:r>
        <w:rPr>
          <w:iCs/>
          <w:color w:val="000000"/>
          <w:sz w:val="24"/>
          <w:szCs w:val="15"/>
        </w:rPr>
      </w:r>
    </w:p>
    <w:p>
      <w:pPr>
        <w:pStyle w:val="Style14"/>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4"/>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4"/>
        <w:ind w:start="144" w:end="144" w:hanging="0"/>
        <w:rPr>
          <w:rStyle w:val="Notranslate"/>
          <w:color w:val="000000"/>
          <w:sz w:val="24"/>
          <w:szCs w:val="15"/>
        </w:rPr>
      </w:pPr>
      <w:r>
        <w:rPr>
          <w:color w:val="000000"/>
          <w:sz w:val="24"/>
          <w:szCs w:val="15"/>
        </w:rPr>
      </w:r>
    </w:p>
    <w:p>
      <w:pPr>
        <w:pStyle w:val="Style14"/>
        <w:ind w:start="144" w:end="144" w:hanging="0"/>
        <w:rPr>
          <w:color w:val="000000"/>
          <w:sz w:val="24"/>
        </w:rPr>
      </w:pPr>
      <w:r>
        <w:rPr>
          <w:rStyle w:val="Notranslate"/>
          <w:sz w:val="24"/>
        </w:rPr>
        <w:t>Dacal, Ramon and Manuel R. de la Calle. 1986: Aboriginal Archaeology of Cuba, editorial New People, p.149. Havana, Cuba.</w:t>
      </w:r>
      <w:r>
        <w:rPr>
          <w:sz w:val="24"/>
        </w:rPr>
        <w:t xml:space="preserve"> </w:t>
        <w:br/>
      </w:r>
    </w:p>
    <w:p>
      <w:pPr>
        <w:pStyle w:val="Style14"/>
        <w:ind w:start="144" w:end="144" w:hanging="0"/>
        <w:rPr>
          <w:color w:val="000000"/>
          <w:sz w:val="24"/>
          <w:szCs w:val="15"/>
        </w:rPr>
      </w:pPr>
      <w:r>
        <w:rPr>
          <w:color w:val="000000"/>
          <w:sz w:val="24"/>
          <w:szCs w:val="15"/>
        </w:rPr>
        <w:t xml:space="preserve">Gerrell, P. R., J. F. Scarry, and J. S. Dunbar </w:t>
      </w:r>
    </w:p>
    <w:p>
      <w:pPr>
        <w:pStyle w:val="Style14"/>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4"/>
        <w:ind w:start="144" w:end="144" w:hanging="0"/>
        <w:rPr>
          <w:iCs/>
          <w:color w:val="000000"/>
          <w:sz w:val="24"/>
          <w:szCs w:val="15"/>
        </w:rPr>
      </w:pPr>
      <w:r>
        <w:rPr>
          <w:iCs/>
          <w:color w:val="000000"/>
          <w:sz w:val="24"/>
          <w:szCs w:val="15"/>
        </w:rPr>
      </w:r>
    </w:p>
    <w:p>
      <w:pPr>
        <w:pStyle w:val="Style14"/>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4"/>
        <w:ind w:start="144" w:end="144" w:hanging="0"/>
        <w:rPr>
          <w:rStyle w:val="HTMLCite"/>
          <w:i w:val="false"/>
          <w:i w:val="false"/>
          <w:iCs w:val="false"/>
          <w:color w:val="000000"/>
          <w:sz w:val="24"/>
          <w:szCs w:val="15"/>
        </w:rPr>
      </w:pPr>
      <w:r>
        <w:rPr/>
      </w:r>
    </w:p>
    <w:p>
      <w:pPr>
        <w:pStyle w:val="Style14"/>
        <w:ind w:start="144" w:end="144" w:hanging="0"/>
        <w:rPr>
          <w:color w:val="000000"/>
          <w:sz w:val="24"/>
          <w:szCs w:val="15"/>
        </w:rPr>
      </w:pPr>
      <w:r>
        <w:rPr>
          <w:color w:val="000000"/>
          <w:sz w:val="24"/>
          <w:szCs w:val="15"/>
        </w:rPr>
        <w:t xml:space="preserve">Hester, T. R. </w:t>
      </w:r>
    </w:p>
    <w:p>
      <w:pPr>
        <w:pStyle w:val="Style14"/>
        <w:ind w:start="144" w:end="144" w:hanging="0"/>
        <w:rPr>
          <w:color w:val="000000"/>
          <w:sz w:val="24"/>
          <w:szCs w:val="15"/>
        </w:rPr>
      </w:pPr>
      <w:r>
        <w:rPr>
          <w:color w:val="000000"/>
          <w:sz w:val="24"/>
          <w:szCs w:val="15"/>
        </w:rPr>
        <w:t xml:space="preserve">1994a An Introduction to the Colha Preceramic Project. </w:t>
      </w:r>
    </w:p>
    <w:p>
      <w:pPr>
        <w:pStyle w:val="Style14"/>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J. Shafer, and T. C. Kelly </w:t>
      </w:r>
    </w:p>
    <w:p>
      <w:pPr>
        <w:pStyle w:val="Style14"/>
        <w:ind w:start="144" w:end="144" w:hanging="0"/>
        <w:rPr>
          <w:color w:val="000000"/>
          <w:sz w:val="24"/>
          <w:szCs w:val="15"/>
        </w:rPr>
      </w:pPr>
      <w:r>
        <w:rPr>
          <w:color w:val="000000"/>
          <w:sz w:val="24"/>
          <w:szCs w:val="15"/>
        </w:rPr>
        <w:t xml:space="preserve">1980 A Preliminary Note on Artifacts from Lowe Ranch: </w:t>
      </w:r>
    </w:p>
    <w:p>
      <w:pPr>
        <w:pStyle w:val="Style14"/>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Hester, J. D. Eaton, and H. J. Shafer. </w:t>
      </w:r>
    </w:p>
    <w:p>
      <w:pPr>
        <w:pStyle w:val="Style14"/>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R. Brewington, H. J. Shafer, and J. Lohse </w:t>
      </w:r>
    </w:p>
    <w:p>
      <w:pPr>
        <w:pStyle w:val="Style14"/>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and H. J. Shafer </w:t>
      </w:r>
    </w:p>
    <w:p>
      <w:pPr>
        <w:pStyle w:val="Style14"/>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Hudler, D. B., T. R. Hester, and H. B. Iceland </w:t>
      </w:r>
    </w:p>
    <w:p>
      <w:pPr>
        <w:pStyle w:val="Style14"/>
        <w:ind w:start="144" w:end="144" w:hanging="0"/>
        <w:rPr>
          <w:color w:val="000000"/>
          <w:sz w:val="24"/>
          <w:szCs w:val="15"/>
        </w:rPr>
      </w:pPr>
      <w:r>
        <w:rPr>
          <w:color w:val="000000"/>
          <w:sz w:val="24"/>
          <w:szCs w:val="15"/>
        </w:rPr>
        <w:t xml:space="preserve">1995 The Colha Preceramic Project: A Status Report. </w:t>
      </w:r>
    </w:p>
    <w:p>
      <w:pPr>
        <w:pStyle w:val="Style14"/>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and T. R. Hester </w:t>
      </w:r>
    </w:p>
    <w:p>
      <w:pPr>
        <w:pStyle w:val="Style14"/>
        <w:ind w:start="144" w:end="144" w:hanging="0"/>
        <w:rPr>
          <w:color w:val="000000"/>
          <w:sz w:val="24"/>
          <w:szCs w:val="15"/>
        </w:rPr>
      </w:pPr>
      <w:r>
        <w:rPr>
          <w:color w:val="000000"/>
          <w:sz w:val="24"/>
          <w:szCs w:val="15"/>
        </w:rPr>
        <w:t xml:space="preserve">1996a The Colha Preceramic Project: A Status Report. </w:t>
      </w:r>
    </w:p>
    <w:p>
      <w:pPr>
        <w:pStyle w:val="Style14"/>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T. R. Hester, H. 1. Shafer, and D. Hudler </w:t>
      </w:r>
    </w:p>
    <w:p>
      <w:pPr>
        <w:pStyle w:val="Style14"/>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Jacob, J. S. </w:t>
      </w:r>
    </w:p>
    <w:p>
      <w:pPr>
        <w:pStyle w:val="Style14"/>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Jones, J. G. </w:t>
      </w:r>
    </w:p>
    <w:p>
      <w:pPr>
        <w:pStyle w:val="Style14"/>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Kelly, T. C. </w:t>
      </w:r>
    </w:p>
    <w:p>
      <w:pPr>
        <w:pStyle w:val="Style14"/>
        <w:ind w:start="144" w:end="144" w:hanging="0"/>
        <w:rPr>
          <w:color w:val="000000"/>
          <w:sz w:val="24"/>
          <w:szCs w:val="15"/>
        </w:rPr>
      </w:pPr>
      <w:r>
        <w:rPr>
          <w:color w:val="000000"/>
          <w:sz w:val="24"/>
          <w:szCs w:val="15"/>
        </w:rPr>
        <w:t xml:space="preserve">1993 Preceramic Projectile-Point Typology in Belize. </w:t>
      </w:r>
    </w:p>
    <w:p>
      <w:pPr>
        <w:pStyle w:val="Style14"/>
        <w:ind w:start="144" w:end="144" w:hanging="0"/>
        <w:rPr>
          <w:iCs/>
          <w:color w:val="000000"/>
          <w:sz w:val="24"/>
          <w:szCs w:val="15"/>
        </w:rPr>
      </w:pPr>
      <w:r>
        <w:rPr>
          <w:iCs/>
          <w:color w:val="000000"/>
          <w:sz w:val="24"/>
          <w:szCs w:val="15"/>
        </w:rPr>
        <w:t xml:space="preserve">Ancient Mesoamerica 4:205-227. </w:t>
      </w:r>
    </w:p>
    <w:p>
      <w:pPr>
        <w:pStyle w:val="Style14"/>
        <w:ind w:start="144" w:end="144" w:hanging="0"/>
        <w:rPr>
          <w:iCs/>
          <w:color w:val="000000"/>
          <w:sz w:val="24"/>
          <w:szCs w:val="15"/>
        </w:rPr>
      </w:pPr>
      <w:r>
        <w:rPr>
          <w:iCs/>
          <w:color w:val="000000"/>
          <w:sz w:val="24"/>
          <w:szCs w:val="15"/>
        </w:rPr>
      </w:r>
    </w:p>
    <w:p>
      <w:pPr>
        <w:pStyle w:val="Style14"/>
        <w:ind w:start="144" w:end="144" w:hanging="0"/>
        <w:rPr>
          <w:color w:val="000000"/>
          <w:sz w:val="24"/>
          <w:szCs w:val="15"/>
        </w:rPr>
      </w:pPr>
      <w:r>
        <w:rPr>
          <w:color w:val="000000"/>
          <w:sz w:val="24"/>
          <w:szCs w:val="15"/>
        </w:rPr>
        <w:t xml:space="preserve">Lohse, 1. C. </w:t>
      </w:r>
    </w:p>
    <w:p>
      <w:pPr>
        <w:pStyle w:val="Style14"/>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MacNeish, R, S., and A. Nelken-Turner </w:t>
      </w:r>
    </w:p>
    <w:p>
      <w:pPr>
        <w:pStyle w:val="Style14"/>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4"/>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Moore, C. </w:t>
      </w:r>
    </w:p>
    <w:p>
      <w:pPr>
        <w:pStyle w:val="Style14"/>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Pantel, A. G. </w:t>
      </w:r>
    </w:p>
    <w:p>
      <w:pPr>
        <w:pStyle w:val="Style14"/>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4"/>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4"/>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Pérez, Lourdes and Elena Guarch. 2000: The hallucinogenic plants and Native American communities.</w:t>
      </w:r>
      <w:r>
        <w:rPr>
          <w:sz w:val="24"/>
        </w:rPr>
        <w:t xml:space="preserve"> </w:t>
      </w:r>
      <w:r>
        <w:rPr>
          <w:rStyle w:val="Notranslate"/>
          <w:sz w:val="24"/>
        </w:rPr>
        <w:t>Rites and customs, Archaeological Caribbean No. 4, p. 92. Cuba</w:t>
      </w:r>
      <w:r>
        <w:rPr>
          <w:sz w:val="24"/>
        </w:rPr>
        <w:t xml:space="preserve"> </w:t>
        <w:br/>
      </w:r>
    </w:p>
    <w:p>
      <w:pPr>
        <w:pStyle w:val="Style14"/>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Rouse, I. </w:t>
      </w:r>
    </w:p>
    <w:p>
      <w:pPr>
        <w:pStyle w:val="Style14"/>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4"/>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4"/>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4"/>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4"/>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w:t>
      </w:r>
    </w:p>
    <w:p>
      <w:pPr>
        <w:pStyle w:val="Style14"/>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1., T. R. Hester, and T. C. Kelly </w:t>
      </w:r>
    </w:p>
    <w:p>
      <w:pPr>
        <w:pStyle w:val="Style14"/>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Steward. 1. H. </w:t>
      </w:r>
    </w:p>
    <w:p>
      <w:pPr>
        <w:pStyle w:val="Style14"/>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Stuiver, M., and R. S. Kra </w:t>
      </w:r>
    </w:p>
    <w:p>
      <w:pPr>
        <w:pStyle w:val="Style14"/>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4"/>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4"/>
        <w:ind w:start="144" w:end="144" w:hanging="0"/>
        <w:jc w:val="both"/>
        <w:rPr>
          <w:rStyle w:val="Notranslate"/>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Trincado, Nilecta et al. 1973. Excavations at Sardinero beach, Santiago de Cuba, Cuba Archaeologica No. I, Cuba.</w:t>
      </w:r>
      <w:r>
        <w:rPr>
          <w:sz w:val="24"/>
        </w:rPr>
        <w:t xml:space="preserve"> </w:t>
      </w:r>
    </w:p>
    <w:p>
      <w:pPr>
        <w:pStyle w:val="Style14"/>
        <w:ind w:start="144" w:end="144" w:hanging="0"/>
        <w:jc w:val="both"/>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w:t>
      </w:r>
    </w:p>
    <w:p>
      <w:pPr>
        <w:pStyle w:val="Style14"/>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and B. Vega </w:t>
      </w:r>
    </w:p>
    <w:p>
      <w:pPr>
        <w:pStyle w:val="Style14"/>
        <w:ind w:start="144" w:end="144" w:hanging="0"/>
        <w:rPr>
          <w:color w:val="000000"/>
          <w:sz w:val="24"/>
          <w:szCs w:val="15"/>
        </w:rPr>
      </w:pPr>
      <w:r>
        <w:rPr>
          <w:color w:val="000000"/>
          <w:sz w:val="24"/>
          <w:szCs w:val="15"/>
        </w:rPr>
        <w:t xml:space="preserve">1982 The Antillean Pre-ceramic: A New Approximation. </w:t>
      </w:r>
    </w:p>
    <w:p>
      <w:pPr>
        <w:pStyle w:val="Style14"/>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Wilson, S. M. </w:t>
      </w:r>
    </w:p>
    <w:p>
      <w:pPr>
        <w:pStyle w:val="Style14"/>
        <w:ind w:start="144" w:end="144" w:hanging="0"/>
        <w:rPr>
          <w:color w:val="000000"/>
          <w:sz w:val="24"/>
          <w:szCs w:val="15"/>
        </w:rPr>
      </w:pPr>
      <w:r>
        <w:rPr>
          <w:color w:val="000000"/>
          <w:sz w:val="24"/>
          <w:szCs w:val="15"/>
        </w:rPr>
        <w:t xml:space="preserve">1996 The Rise of Complex Societies in the Caribbean. </w:t>
      </w:r>
    </w:p>
    <w:p>
      <w:pPr>
        <w:pStyle w:val="Style14"/>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4"/>
        <w:ind w:start="144" w:end="144" w:hanging="0"/>
        <w:rPr>
          <w:color w:val="000000"/>
          <w:w w:val="114"/>
          <w:sz w:val="24"/>
          <w:szCs w:val="15"/>
        </w:rPr>
      </w:pPr>
      <w:r>
        <w:rPr>
          <w:color w:val="000000"/>
          <w:w w:val="114"/>
          <w:sz w:val="24"/>
          <w:szCs w:val="15"/>
        </w:rPr>
      </w:r>
    </w:p>
    <w:p>
      <w:pPr>
        <w:pStyle w:val="Style14"/>
        <w:ind w:start="144" w:end="144" w:hanging="0"/>
        <w:rPr>
          <w:color w:val="000000"/>
          <w:sz w:val="24"/>
          <w:szCs w:val="15"/>
        </w:rPr>
      </w:pPr>
      <w:r>
        <w:rPr>
          <w:color w:val="000000"/>
          <w:sz w:val="24"/>
          <w:szCs w:val="15"/>
        </w:rPr>
        <w:t xml:space="preserve">Wood, G. P. </w:t>
      </w:r>
    </w:p>
    <w:p>
      <w:pPr>
        <w:pStyle w:val="Style14"/>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Zeitlin, R. N. </w:t>
      </w:r>
    </w:p>
    <w:p>
      <w:pPr>
        <w:pStyle w:val="Style14"/>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Zeitlin, R. N., and 1. F. Zeitlin </w:t>
      </w:r>
    </w:p>
    <w:p>
      <w:pPr>
        <w:pStyle w:val="Style14"/>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Style14"/>
        <w:ind w:start="144" w:end="144" w:hanging="0"/>
        <w:jc w:val="both"/>
        <w:rPr>
          <w:color w:val="000000"/>
          <w:sz w:val="24"/>
          <w:szCs w:val="15"/>
        </w:rPr>
      </w:pPr>
      <w:r>
        <w:rPr>
          <w:color w:val="000000"/>
          <w:sz w:val="24"/>
          <w:szCs w:val="15"/>
        </w:rPr>
      </w:r>
    </w:p>
    <w:p>
      <w:pPr>
        <w:pStyle w:val="Normal"/>
        <w:rPr>
          <w:color w:val="000000"/>
          <w:sz w:val="24"/>
          <w:szCs w:val="15"/>
        </w:rPr>
      </w:pPr>
      <w:r>
        <w:rPr>
          <w:color w:val="000000"/>
          <w:sz w:val="24"/>
          <w:szCs w:val="15"/>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Notranslate">
    <w:name w:val="notranslate"/>
    <w:qFormat/>
    <w:rPr/>
  </w:style>
  <w:style w:type="character" w:styleId="Emphasis">
    <w:name w:val="Emphasis"/>
    <w:qFormat/>
    <w:rPr>
      <w:i/>
      <w:iCs/>
    </w:rPr>
  </w:style>
  <w:style w:type="character" w:styleId="Referencetext">
    <w:name w:val="reference-tex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4">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translate.googleusercontent.com/translate_c?depth=1&amp;hl=en&amp;prev=search&amp;rurl=translate.google.com&amp;sl=es&amp;u=http://pueblosoriginarios.com/centro/antillas/taino/maque.html&amp;usg=ALkJrhjPHXvKfHZkwRcHGDMcxmwHjzZ-Zw" TargetMode="External"/><Relationship Id="rId7" Type="http://schemas.openxmlformats.org/officeDocument/2006/relationships/hyperlink" Target="https://translate.googleusercontent.com/translate_c?depth=1&amp;hl=en&amp;prev=search&amp;rurl=translate.google.com&amp;sl=es&amp;u=http://pueblosoriginarios.com/biografias/pane.html&amp;usg=ALkJrhj93Q1oq79G5oFuYQsZQlAOSsmzgA" TargetMode="External"/><Relationship Id="rId8" Type="http://schemas.openxmlformats.org/officeDocument/2006/relationships/hyperlink" Target="https://translate.googleusercontent.com/translate_c?depth=1&amp;hl=en&amp;prev=search&amp;rurl=translate.google.com&amp;sl=es&amp;u=http://pueblosoriginarios.com/textos/pane/3.html&amp;usg=ALkJrhhndrqPsArDfEL5jUZ4n7MdKrmFUA" TargetMode="External"/><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2018-08-04T15:08:00Z</dcterms:created>
  <dc:creator>owner</dc:creator>
  <dc:description/>
  <cp:keywords/>
  <dc:language>en-US</dc:language>
  <cp:lastModifiedBy>Ralph Coffman</cp:lastModifiedBy>
  <dcterms:modified xsi:type="dcterms:W3CDTF">2018-08-04T15:08:00Z</dcterms:modified>
  <cp:revision>2</cp:revision>
  <dc:subject/>
  <dc:title>DIS-AM,C-Taino-Conch Shell-Anthropomorphic Statuette</dc:title>
</cp:coreProperties>
</file>