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8862E5">
      <w:bookmarkStart w:id="0" w:name="_GoBack"/>
      <w:r>
        <w:t>A000-</w:t>
      </w:r>
      <w:r w:rsidR="00506B8B">
        <w:t>Am</w:t>
      </w:r>
      <w:proofErr w:type="gramStart"/>
      <w:r w:rsidR="00506B8B">
        <w:t>,C</w:t>
      </w:r>
      <w:proofErr w:type="gramEnd"/>
      <w:r w:rsidR="00506B8B">
        <w:t>-Spatula-Toad Cemi-Exposed Ribs-Manatee Rib-1000 CE</w:t>
      </w:r>
    </w:p>
    <w:bookmarkEnd w:id="0"/>
    <w:p w:rsidR="008862E5" w:rsidRDefault="008862E5"/>
    <w:p w:rsidR="008862E5" w:rsidRDefault="008862E5">
      <w:r>
        <w:rPr>
          <w:noProof/>
        </w:rPr>
        <w:drawing>
          <wp:inline distT="0" distB="0" distL="0" distR="0" wp14:anchorId="3810440A" wp14:editId="7A796340">
            <wp:extent cx="46767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5" w:rsidRDefault="008862E5">
      <w:r>
        <w:t>Fig. 1. Am</w:t>
      </w:r>
      <w:proofErr w:type="gramStart"/>
      <w:r>
        <w:t>,C</w:t>
      </w:r>
      <w:proofErr w:type="gramEnd"/>
      <w:r>
        <w:t>-Spatula-</w:t>
      </w:r>
      <w:r w:rsidR="00506B8B">
        <w:t>Toad Cemi</w:t>
      </w:r>
      <w:r>
        <w:t>-</w:t>
      </w:r>
      <w:r w:rsidR="00506B8B">
        <w:t>Exposed Ribs-</w:t>
      </w:r>
      <w:r>
        <w:t>Manatee Rib-1000 CE</w:t>
      </w:r>
    </w:p>
    <w:p w:rsidR="008862E5" w:rsidRDefault="008862E5" w:rsidP="008862E5">
      <w:pPr>
        <w:rPr>
          <w:rStyle w:val="Strong"/>
        </w:rPr>
      </w:pPr>
      <w:r>
        <w:rPr>
          <w:rStyle w:val="Strong"/>
        </w:rPr>
        <w:t>Case No.: 18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>Accession No.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-Spatula-Toad Cemi-Exposed Ribs-Manatee Rib-1000 CE</w:t>
      </w:r>
    </w:p>
    <w:p w:rsidR="00506B8B" w:rsidRDefault="00506B8B" w:rsidP="00506B8B">
      <w:pPr>
        <w:rPr>
          <w:b/>
        </w:rPr>
      </w:pPr>
      <w:r w:rsidRPr="002747B6">
        <w:rPr>
          <w:b/>
        </w:rPr>
        <w:t>Display Description:</w:t>
      </w:r>
    </w:p>
    <w:p w:rsidR="00506B8B" w:rsidRDefault="00506B8B" w:rsidP="00506B8B">
      <w:r>
        <w:t>The local</w:t>
      </w:r>
      <w:r w:rsidRPr="00B209CC">
        <w:t xml:space="preserve"> </w:t>
      </w:r>
      <w:proofErr w:type="spellStart"/>
      <w:r w:rsidRPr="00B209CC">
        <w:t>Bohique</w:t>
      </w:r>
      <w:proofErr w:type="spellEnd"/>
      <w:r w:rsidRPr="00B209CC">
        <w:t xml:space="preserve"> or shaman leader </w:t>
      </w:r>
      <w:r>
        <w:t xml:space="preserve">would use this spatula </w:t>
      </w:r>
      <w:r w:rsidRPr="00B209CC">
        <w:t xml:space="preserve">for ritual cleansing </w:t>
      </w:r>
      <w:r>
        <w:t xml:space="preserve">by vomiting </w:t>
      </w:r>
      <w:r w:rsidRPr="00B209CC">
        <w:t>before consuming the</w:t>
      </w:r>
      <w:r w:rsidRPr="00B209CC">
        <w:rPr>
          <w:i/>
        </w:rPr>
        <w:t xml:space="preserve"> </w:t>
      </w:r>
      <w:proofErr w:type="spellStart"/>
      <w:r w:rsidRPr="00AF751C">
        <w:rPr>
          <w:i/>
        </w:rPr>
        <w:t>cohoba</w:t>
      </w:r>
      <w:proofErr w:type="spellEnd"/>
      <w:r w:rsidRPr="00B209CC">
        <w:rPr>
          <w:i/>
        </w:rPr>
        <w:t xml:space="preserve"> halluc</w:t>
      </w:r>
      <w:r w:rsidRPr="00B209CC">
        <w:t xml:space="preserve">inogen, usually </w:t>
      </w:r>
      <w:proofErr w:type="spellStart"/>
      <w:r w:rsidRPr="00B209CC">
        <w:rPr>
          <w:i/>
        </w:rPr>
        <w:t>Anadenanthera</w:t>
      </w:r>
      <w:proofErr w:type="spellEnd"/>
      <w:r w:rsidRPr="00B209CC">
        <w:rPr>
          <w:i/>
        </w:rPr>
        <w:t xml:space="preserve"> </w:t>
      </w:r>
      <w:r w:rsidRPr="00B209CC">
        <w:t>a genus of South American trees in the Legume family,</w:t>
      </w:r>
      <w:r w:rsidRPr="00B209CC">
        <w:rPr>
          <w:i/>
        </w:rPr>
        <w:t> </w:t>
      </w:r>
      <w:proofErr w:type="spellStart"/>
      <w:r w:rsidRPr="00B209CC">
        <w:rPr>
          <w:i/>
        </w:rPr>
        <w:t>Fabaceae</w:t>
      </w:r>
      <w:proofErr w:type="spellEnd"/>
      <w:r w:rsidRPr="00B209CC">
        <w:rPr>
          <w:i/>
        </w:rPr>
        <w:t xml:space="preserve">. </w:t>
      </w:r>
      <w:r w:rsidRPr="00B209CC">
        <w:t>The genus contains two to four species, including </w:t>
      </w:r>
      <w:r w:rsidRPr="00B209CC">
        <w:rPr>
          <w:i/>
        </w:rPr>
        <w:t xml:space="preserve">A. colubrine </w:t>
      </w:r>
      <w:r w:rsidRPr="00B209CC">
        <w:t>and </w:t>
      </w:r>
      <w:r w:rsidRPr="00B209CC">
        <w:rPr>
          <w:i/>
        </w:rPr>
        <w:t>A</w:t>
      </w:r>
      <w:r w:rsidRPr="00B209CC">
        <w:t xml:space="preserve">. </w:t>
      </w:r>
      <w:proofErr w:type="spellStart"/>
      <w:r w:rsidRPr="00B209CC">
        <w:t>peregrina</w:t>
      </w:r>
      <w:proofErr w:type="spellEnd"/>
      <w:r w:rsidRPr="00B209CC">
        <w:t>. These trees respectively are known as sources of the hallucinogenic snuffs </w:t>
      </w:r>
      <w:proofErr w:type="spellStart"/>
      <w:r w:rsidRPr="00B209CC">
        <w:t>Vilca</w:t>
      </w:r>
      <w:proofErr w:type="spellEnd"/>
      <w:r w:rsidRPr="00B209CC">
        <w:t>/</w:t>
      </w:r>
      <w:proofErr w:type="spellStart"/>
      <w:r w:rsidRPr="00B209CC">
        <w:t>Cebil</w:t>
      </w:r>
      <w:proofErr w:type="spellEnd"/>
      <w:r w:rsidRPr="00B209CC">
        <w:t xml:space="preserve"> and </w:t>
      </w:r>
      <w:proofErr w:type="spellStart"/>
      <w:r w:rsidRPr="00B209CC">
        <w:fldChar w:fldCharType="begin"/>
      </w:r>
      <w:r w:rsidRPr="00B209CC">
        <w:instrText xml:space="preserve"> HYPERLINK "https://en.wikipedia.org/wiki/Yopo" \o "Yopo" </w:instrText>
      </w:r>
      <w:r w:rsidRPr="00B209CC">
        <w:fldChar w:fldCharType="separate"/>
      </w:r>
      <w:r w:rsidRPr="00B209CC">
        <w:rPr>
          <w:rStyle w:val="Hyperlink"/>
        </w:rPr>
        <w:t>Yopo</w:t>
      </w:r>
      <w:proofErr w:type="spellEnd"/>
      <w:r w:rsidRPr="00B209CC">
        <w:fldChar w:fldCharType="end"/>
      </w:r>
      <w:r w:rsidRPr="00B209CC">
        <w:t>/</w:t>
      </w:r>
      <w:proofErr w:type="spellStart"/>
      <w:r w:rsidRPr="00AF751C">
        <w:rPr>
          <w:i/>
        </w:rPr>
        <w:t>Cohoba</w:t>
      </w:r>
      <w:proofErr w:type="spellEnd"/>
      <w:r>
        <w:t xml:space="preserve">. </w:t>
      </w:r>
    </w:p>
    <w:p w:rsidR="00506B8B" w:rsidRDefault="00506B8B" w:rsidP="00506B8B">
      <w:r>
        <w:tab/>
        <w:t xml:space="preserve">The depiction of a Toad is significant since main active constituent </w:t>
      </w:r>
      <w:r w:rsidRPr="00B209CC">
        <w:t>o</w:t>
      </w:r>
      <w:r>
        <w:t xml:space="preserve">f </w:t>
      </w:r>
      <w:proofErr w:type="spellStart"/>
      <w:r w:rsidRPr="001D2BF8">
        <w:rPr>
          <w:i/>
        </w:rPr>
        <w:t>cohoba</w:t>
      </w:r>
      <w:proofErr w:type="spellEnd"/>
      <w:r w:rsidRPr="001D2BF8">
        <w:rPr>
          <w:i/>
        </w:rPr>
        <w:t xml:space="preserve"> </w:t>
      </w:r>
      <w:r>
        <w:rPr>
          <w:i/>
        </w:rPr>
        <w:t xml:space="preserve">or </w:t>
      </w:r>
      <w:proofErr w:type="spellStart"/>
      <w:r w:rsidRPr="00B209CC">
        <w:rPr>
          <w:i/>
        </w:rPr>
        <w:t>Anadenanthera</w:t>
      </w:r>
      <w:proofErr w:type="spellEnd"/>
      <w:r>
        <w:t xml:space="preserve"> is </w:t>
      </w:r>
      <w:hyperlink r:id="rId5" w:tooltip="Bufotenin" w:history="1">
        <w:proofErr w:type="spellStart"/>
        <w:r w:rsidRPr="00B209CC">
          <w:rPr>
            <w:rStyle w:val="Hyperlink"/>
          </w:rPr>
          <w:t>bufotenin</w:t>
        </w:r>
        <w:proofErr w:type="spellEnd"/>
      </w:hyperlink>
      <w:r w:rsidRPr="00B209CC">
        <w:t xml:space="preserve"> (5-HO-DMT, </w:t>
      </w:r>
      <w:proofErr w:type="spellStart"/>
      <w:r w:rsidRPr="00B209CC">
        <w:t>bufoteni</w:t>
      </w:r>
      <w:r>
        <w:t>ne</w:t>
      </w:r>
      <w:proofErr w:type="spellEnd"/>
      <w:r>
        <w:t xml:space="preserve">), a tryptamine related to the </w:t>
      </w:r>
      <w:r w:rsidRPr="00B209CC">
        <w:t>neurotransmitter serotonin</w:t>
      </w:r>
      <w:r>
        <w:t xml:space="preserve">, an alkaloid </w:t>
      </w:r>
      <w:r w:rsidRPr="00B209CC">
        <w:t xml:space="preserve">in the skin </w:t>
      </w:r>
      <w:r>
        <w:t xml:space="preserve">pustules </w:t>
      </w:r>
      <w:r w:rsidRPr="00B209CC">
        <w:t xml:space="preserve">of </w:t>
      </w:r>
      <w:r>
        <w:t>toad species.</w:t>
      </w:r>
      <w:r>
        <w:t xml:space="preserve"> This toad is also special because it displays exposed ribs which implies that it has been exposed, metaphorically, to ritual fasting like the </w:t>
      </w:r>
      <w:r w:rsidR="003F71CE">
        <w:t xml:space="preserve">applicant to the </w:t>
      </w:r>
      <w:proofErr w:type="spellStart"/>
      <w:r w:rsidR="003F71CE" w:rsidRPr="00257B26">
        <w:rPr>
          <w:i/>
        </w:rPr>
        <w:t>cohoba</w:t>
      </w:r>
      <w:proofErr w:type="spellEnd"/>
      <w:r w:rsidR="003F71CE">
        <w:t xml:space="preserve"> ritual will be required to undertake.</w:t>
      </w:r>
    </w:p>
    <w:p w:rsidR="00506B8B" w:rsidRPr="00B209CC" w:rsidRDefault="00506B8B" w:rsidP="00506B8B">
      <w:r>
        <w:t xml:space="preserve">However, those who wished to partake of </w:t>
      </w:r>
      <w:proofErr w:type="spellStart"/>
      <w:r w:rsidRPr="00AF751C">
        <w:rPr>
          <w:i/>
        </w:rPr>
        <w:t>cohoba</w:t>
      </w:r>
      <w:proofErr w:type="spellEnd"/>
      <w:r>
        <w:t xml:space="preserve"> in order to achieve an hallucinogenic experience, the use of the spatula is essential to first achieve the physical purging of bodily contaminants, and , so, the toad is urging the would –be participant to partake of bodily purging</w:t>
      </w:r>
      <w:r w:rsidR="003F71CE">
        <w:t xml:space="preserve"> as well as ritual fasting</w:t>
      </w:r>
      <w:r>
        <w:t>.</w:t>
      </w:r>
      <w:r w:rsidR="003F71CE">
        <w:t xml:space="preserve"> This gives us an insight into the differences of requirements of admission to the </w:t>
      </w:r>
      <w:proofErr w:type="spellStart"/>
      <w:r w:rsidR="003F71CE" w:rsidRPr="003F71CE">
        <w:rPr>
          <w:i/>
        </w:rPr>
        <w:t>cohoba</w:t>
      </w:r>
      <w:proofErr w:type="spellEnd"/>
      <w:r w:rsidR="00257B26">
        <w:t xml:space="preserve"> ritual</w:t>
      </w:r>
      <w:r w:rsidR="003F71CE">
        <w:t>, since not all applicants were required to undergo fasting as a further purgative experience.</w:t>
      </w:r>
    </w:p>
    <w:p w:rsidR="00506B8B" w:rsidRDefault="00506B8B" w:rsidP="00506B8B">
      <w:pPr>
        <w:pStyle w:val="NormalWeb"/>
      </w:pPr>
      <w:r>
        <w:rPr>
          <w:b/>
          <w:bCs/>
          <w:smallCaps/>
          <w:color w:val="000000"/>
        </w:rPr>
        <w:tab/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</w:t>
      </w:r>
      <w:r>
        <w:lastRenderedPageBreak/>
        <w:t xml:space="preserve">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 xml:space="preserve">Geographical Area: </w:t>
      </w:r>
      <w:r>
        <w:t>From Eastern Hispaniola, i.e., the Dominican Republic</w:t>
      </w:r>
    </w:p>
    <w:p w:rsidR="00506B8B" w:rsidRDefault="00506B8B" w:rsidP="00506B8B">
      <w:pPr>
        <w:rPr>
          <w:b/>
        </w:rPr>
      </w:pPr>
      <w:r w:rsidRPr="002747B6">
        <w:rPr>
          <w:b/>
        </w:rPr>
        <w:t>Map:</w:t>
      </w:r>
    </w:p>
    <w:p w:rsidR="00506B8B" w:rsidRDefault="00506B8B" w:rsidP="00506B8B">
      <w:pPr>
        <w:rPr>
          <w:b/>
        </w:rPr>
      </w:pPr>
    </w:p>
    <w:p w:rsidR="00506B8B" w:rsidRDefault="00506B8B" w:rsidP="00506B8B">
      <w:pPr>
        <w:rPr>
          <w:b/>
        </w:rPr>
      </w:pPr>
      <w:r w:rsidRPr="00BA448C">
        <w:rPr>
          <w:noProof/>
        </w:rPr>
        <w:drawing>
          <wp:inline distT="0" distB="0" distL="0" distR="0" wp14:anchorId="7380437B" wp14:editId="1AA9B6C1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8B" w:rsidRPr="00D00B09" w:rsidRDefault="00506B8B" w:rsidP="00506B8B">
      <w:r w:rsidRPr="00D00B09">
        <w:t>Caribbean c 1500 after http://www.latinamericanstudies.org/maps/Ciboney-Taino-Carib-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>GPS coordinates: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 xml:space="preserve">Cultural Affiliation: </w:t>
      </w:r>
      <w:r w:rsidRPr="00D00B09">
        <w:t>Sub Taino</w:t>
      </w:r>
    </w:p>
    <w:p w:rsidR="00506B8B" w:rsidRPr="00D00B09" w:rsidRDefault="00506B8B" w:rsidP="00506B8B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D00B09">
        <w:t>Manatee rib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 xml:space="preserve">Dimensions: 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 xml:space="preserve">Weight:  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D00B09">
        <w:t>original, intact</w:t>
      </w:r>
    </w:p>
    <w:p w:rsidR="00506B8B" w:rsidRPr="002747B6" w:rsidRDefault="00506B8B" w:rsidP="00506B8B">
      <w:pPr>
        <w:rPr>
          <w:b/>
        </w:rPr>
      </w:pPr>
      <w:r w:rsidRPr="002747B6">
        <w:rPr>
          <w:b/>
        </w:rPr>
        <w:lastRenderedPageBreak/>
        <w:t xml:space="preserve">Provenance: </w:t>
      </w:r>
      <w:r>
        <w:t>From Eastern Hispaniola, i.e., the Dominican Republic</w:t>
      </w:r>
    </w:p>
    <w:p w:rsidR="00506B8B" w:rsidRDefault="00506B8B" w:rsidP="00506B8B">
      <w:pPr>
        <w:rPr>
          <w:b/>
        </w:rPr>
      </w:pPr>
      <w:r w:rsidRPr="002747B6">
        <w:rPr>
          <w:b/>
        </w:rPr>
        <w:t>Discussion:</w:t>
      </w:r>
    </w:p>
    <w:p w:rsidR="00506B8B" w:rsidRPr="00184CD7" w:rsidRDefault="00506B8B" w:rsidP="00506B8B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506B8B" w:rsidRPr="00184CD7" w:rsidRDefault="00506B8B" w:rsidP="00506B8B">
      <w:pPr>
        <w:rPr>
          <w:b/>
        </w:rPr>
      </w:pPr>
      <w:r w:rsidRPr="002747B6">
        <w:rPr>
          <w:b/>
        </w:rPr>
        <w:t>References:</w:t>
      </w:r>
      <w:r>
        <w:rPr>
          <w:iCs/>
          <w:color w:val="000000"/>
          <w:szCs w:val="15"/>
        </w:rPr>
        <w:t xml:space="preserve"> </w:t>
      </w:r>
    </w:p>
    <w:p w:rsidR="00506B8B" w:rsidRDefault="00506B8B" w:rsidP="00506B8B">
      <w:pPr>
        <w:ind w:left="144" w:right="144"/>
        <w:rPr>
          <w:color w:val="000000"/>
          <w:szCs w:val="15"/>
        </w:rPr>
      </w:pPr>
    </w:p>
    <w:p w:rsidR="00506B8B" w:rsidRDefault="00506B8B" w:rsidP="00506B8B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506B8B" w:rsidRDefault="00506B8B" w:rsidP="00506B8B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506B8B" w:rsidRDefault="00506B8B" w:rsidP="00506B8B">
      <w:pPr>
        <w:ind w:left="144" w:right="144"/>
        <w:rPr>
          <w:color w:val="000000"/>
          <w:szCs w:val="15"/>
        </w:rPr>
      </w:pPr>
    </w:p>
    <w:p w:rsidR="00506B8B" w:rsidRDefault="00506B8B" w:rsidP="00506B8B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506B8B" w:rsidRDefault="00506B8B" w:rsidP="00506B8B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506B8B" w:rsidRDefault="00506B8B" w:rsidP="00506B8B">
      <w:pPr>
        <w:ind w:left="144" w:right="144"/>
        <w:rPr>
          <w:color w:val="000000"/>
          <w:szCs w:val="15"/>
        </w:rPr>
      </w:pPr>
    </w:p>
    <w:p w:rsidR="00506B8B" w:rsidRDefault="00506B8B" w:rsidP="00506B8B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506B8B" w:rsidRDefault="00506B8B" w:rsidP="00506B8B">
      <w:pPr>
        <w:ind w:left="144" w:right="144"/>
        <w:rPr>
          <w:color w:val="000000"/>
          <w:szCs w:val="15"/>
        </w:rPr>
      </w:pPr>
    </w:p>
    <w:p w:rsidR="00506B8B" w:rsidRDefault="00506B8B" w:rsidP="00506B8B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506B8B" w:rsidRDefault="00506B8B" w:rsidP="00506B8B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lastRenderedPageBreak/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506B8B" w:rsidRDefault="00506B8B" w:rsidP="00506B8B">
      <w:pPr>
        <w:pStyle w:val="Style"/>
        <w:ind w:left="144" w:right="144"/>
        <w:rPr>
          <w:rStyle w:val="notranslate"/>
        </w:rPr>
      </w:pPr>
    </w:p>
    <w:p w:rsidR="00506B8B" w:rsidRPr="00AC06E5" w:rsidRDefault="00506B8B" w:rsidP="00506B8B">
      <w:pPr>
        <w:pStyle w:val="Style"/>
        <w:ind w:left="144" w:right="144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Dacal</w:t>
      </w:r>
      <w:proofErr w:type="spellEnd"/>
      <w:r w:rsidRPr="00AC06E5">
        <w:rPr>
          <w:rStyle w:val="notranslate"/>
          <w:sz w:val="24"/>
        </w:rPr>
        <w:t xml:space="preserve">, Ramon and Manuel R. de la </w:t>
      </w:r>
      <w:proofErr w:type="spellStart"/>
      <w:r w:rsidRPr="00AC06E5">
        <w:rPr>
          <w:rStyle w:val="notranslate"/>
          <w:sz w:val="24"/>
        </w:rPr>
        <w:t>Calle</w:t>
      </w:r>
      <w:proofErr w:type="spellEnd"/>
      <w:r w:rsidRPr="00AC06E5">
        <w:rPr>
          <w:rStyle w:val="notranslate"/>
          <w:sz w:val="24"/>
        </w:rPr>
        <w:t xml:space="preserve">. 1986: Aboriginal Archaeology of Cuba, editorial </w:t>
      </w:r>
      <w:r w:rsidRPr="00AC06E5">
        <w:rPr>
          <w:rStyle w:val="notranslate"/>
          <w:i/>
          <w:sz w:val="24"/>
        </w:rPr>
        <w:t>New People</w:t>
      </w:r>
      <w:r w:rsidRPr="00AC06E5">
        <w:rPr>
          <w:rStyle w:val="notranslate"/>
          <w:sz w:val="24"/>
        </w:rPr>
        <w:t>, p.149. Havana, Cuba.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506B8B" w:rsidRDefault="00506B8B" w:rsidP="00506B8B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Paper presented at the 61st Annual Meeting of the Society for American Archaeology, New Orleans.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506B8B" w:rsidRDefault="00506B8B" w:rsidP="00506B8B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506B8B" w:rsidRDefault="00506B8B" w:rsidP="00506B8B">
      <w:pPr>
        <w:rPr>
          <w:szCs w:val="19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506B8B" w:rsidRDefault="00506B8B" w:rsidP="00506B8B">
      <w:pPr>
        <w:pStyle w:val="Style"/>
        <w:ind w:left="144" w:right="144"/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lastRenderedPageBreak/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Pr="00AC06E5" w:rsidRDefault="00506B8B" w:rsidP="00506B8B">
      <w:pPr>
        <w:pStyle w:val="Style"/>
        <w:ind w:left="144" w:right="144"/>
        <w:jc w:val="both"/>
        <w:rPr>
          <w:color w:val="000000"/>
          <w:sz w:val="24"/>
        </w:rPr>
      </w:pPr>
      <w:r w:rsidRPr="00AC06E5">
        <w:rPr>
          <w:rStyle w:val="notranslate"/>
          <w:sz w:val="24"/>
        </w:rPr>
        <w:t xml:space="preserve">Pérez, Lourdes and Elena </w:t>
      </w:r>
      <w:proofErr w:type="spellStart"/>
      <w:r w:rsidRPr="00AC06E5">
        <w:rPr>
          <w:rStyle w:val="notranslate"/>
          <w:sz w:val="24"/>
        </w:rPr>
        <w:t>Guarch</w:t>
      </w:r>
      <w:proofErr w:type="spellEnd"/>
      <w:r w:rsidRPr="00AC06E5">
        <w:rPr>
          <w:rStyle w:val="notranslate"/>
          <w:sz w:val="24"/>
        </w:rPr>
        <w:t>. 2000: The hallucinogenic plants and Native American communities.</w:t>
      </w:r>
      <w:r w:rsidRPr="00AC06E5">
        <w:rPr>
          <w:sz w:val="24"/>
        </w:rPr>
        <w:t xml:space="preserve"> </w:t>
      </w:r>
      <w:r w:rsidRPr="00AC06E5">
        <w:rPr>
          <w:rStyle w:val="notranslate"/>
          <w:sz w:val="24"/>
        </w:rPr>
        <w:t xml:space="preserve">Rites and customs, </w:t>
      </w:r>
      <w:r w:rsidRPr="00AC06E5">
        <w:rPr>
          <w:rStyle w:val="notranslate"/>
          <w:i/>
          <w:sz w:val="24"/>
        </w:rPr>
        <w:t>Archaeological Caribbean</w:t>
      </w:r>
      <w:r w:rsidRPr="00AC06E5">
        <w:rPr>
          <w:rStyle w:val="notranslate"/>
          <w:sz w:val="24"/>
        </w:rPr>
        <w:t xml:space="preserve"> No. 4, p. 92. Cuba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506B8B" w:rsidRDefault="00506B8B" w:rsidP="00506B8B">
      <w:pPr>
        <w:pStyle w:val="Style"/>
        <w:ind w:left="144" w:right="144"/>
        <w:jc w:val="both"/>
        <w:rPr>
          <w:rStyle w:val="notranslate"/>
        </w:rPr>
      </w:pPr>
    </w:p>
    <w:p w:rsidR="00506B8B" w:rsidRPr="00AC06E5" w:rsidRDefault="00506B8B" w:rsidP="00506B8B">
      <w:pPr>
        <w:pStyle w:val="Style"/>
        <w:ind w:left="144" w:right="144"/>
        <w:jc w:val="both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Trincado</w:t>
      </w:r>
      <w:proofErr w:type="spellEnd"/>
      <w:r w:rsidRPr="00AC06E5">
        <w:rPr>
          <w:rStyle w:val="notranslate"/>
          <w:sz w:val="24"/>
        </w:rPr>
        <w:t xml:space="preserve">, </w:t>
      </w:r>
      <w:proofErr w:type="spellStart"/>
      <w:r w:rsidRPr="00AC06E5">
        <w:rPr>
          <w:rStyle w:val="notranslate"/>
          <w:sz w:val="24"/>
        </w:rPr>
        <w:t>Nilecta</w:t>
      </w:r>
      <w:proofErr w:type="spellEnd"/>
      <w:r w:rsidRPr="00AC06E5">
        <w:rPr>
          <w:rStyle w:val="notranslate"/>
          <w:sz w:val="24"/>
        </w:rPr>
        <w:t xml:space="preserve"> et al. 1973. Excavations at </w:t>
      </w:r>
      <w:proofErr w:type="spellStart"/>
      <w:r w:rsidRPr="00AC06E5">
        <w:rPr>
          <w:rStyle w:val="notranslate"/>
          <w:sz w:val="24"/>
        </w:rPr>
        <w:t>Sardinero</w:t>
      </w:r>
      <w:proofErr w:type="spellEnd"/>
      <w:r w:rsidRPr="00AC06E5">
        <w:rPr>
          <w:rStyle w:val="notranslate"/>
          <w:sz w:val="24"/>
        </w:rPr>
        <w:t xml:space="preserve"> beach, Santiago de Cuba</w:t>
      </w:r>
      <w:r w:rsidRPr="00AC06E5">
        <w:rPr>
          <w:rStyle w:val="notranslate"/>
          <w:i/>
          <w:sz w:val="24"/>
        </w:rPr>
        <w:t xml:space="preserve">, Cuba </w:t>
      </w:r>
      <w:proofErr w:type="spellStart"/>
      <w:r w:rsidRPr="00AC06E5">
        <w:rPr>
          <w:rStyle w:val="notranslate"/>
          <w:i/>
          <w:sz w:val="24"/>
        </w:rPr>
        <w:t>Archaeologica</w:t>
      </w:r>
      <w:proofErr w:type="spellEnd"/>
      <w:r w:rsidRPr="00AC06E5">
        <w:rPr>
          <w:rStyle w:val="notranslate"/>
          <w:sz w:val="24"/>
        </w:rPr>
        <w:t xml:space="preserve"> No. I, Cuba.</w:t>
      </w:r>
      <w:r w:rsidRPr="00AC06E5">
        <w:rPr>
          <w:sz w:val="24"/>
        </w:rPr>
        <w:t xml:space="preserve">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506B8B" w:rsidRDefault="00506B8B" w:rsidP="00506B8B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506B8B" w:rsidRDefault="00506B8B" w:rsidP="00506B8B">
      <w:pPr>
        <w:ind w:left="144" w:right="144"/>
        <w:rPr>
          <w:color w:val="000000"/>
          <w:w w:val="114"/>
          <w:szCs w:val="20"/>
        </w:rPr>
      </w:pPr>
    </w:p>
    <w:p w:rsidR="00506B8B" w:rsidRDefault="00506B8B" w:rsidP="00506B8B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506B8B" w:rsidRDefault="00506B8B" w:rsidP="00506B8B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506B8B" w:rsidRDefault="00506B8B" w:rsidP="00506B8B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506B8B" w:rsidRDefault="00506B8B" w:rsidP="00506B8B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8862E5" w:rsidRDefault="008862E5" w:rsidP="00506B8B"/>
    <w:sectPr w:rsidR="0088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E5"/>
    <w:rsid w:val="00151F1C"/>
    <w:rsid w:val="00257B26"/>
    <w:rsid w:val="003F71CE"/>
    <w:rsid w:val="00506B8B"/>
    <w:rsid w:val="008862E5"/>
    <w:rsid w:val="009D097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F2285-CF3E-4F76-A79A-70D04E16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862E5"/>
    <w:rPr>
      <w:b/>
      <w:bCs/>
    </w:rPr>
  </w:style>
  <w:style w:type="character" w:styleId="Hyperlink">
    <w:name w:val="Hyperlink"/>
    <w:basedOn w:val="DefaultParagraphFont"/>
    <w:semiHidden/>
    <w:rsid w:val="00506B8B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506B8B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506B8B"/>
  </w:style>
  <w:style w:type="character" w:customStyle="1" w:styleId="reference-text">
    <w:name w:val="reference-text"/>
    <w:rsid w:val="00506B8B"/>
  </w:style>
  <w:style w:type="paragraph" w:customStyle="1" w:styleId="Style">
    <w:name w:val="Style"/>
    <w:rsid w:val="00506B8B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506B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Bufoten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2018-08-04T18:29:00Z</dcterms:created>
  <dcterms:modified xsi:type="dcterms:W3CDTF">2018-08-04T18:29:00Z</dcterms:modified>
</cp:coreProperties>
</file>