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3DF" w:rsidRPr="003B0128" w:rsidRDefault="003053DF" w:rsidP="003B0128">
      <w:r w:rsidRPr="003B0128">
        <w:t>A000-ME-Assyria-Persepolis-</w:t>
      </w:r>
      <w:r w:rsidR="003B0128" w:rsidRPr="003B0128">
        <w:t>Palace of Darius-</w:t>
      </w:r>
      <w:r w:rsidRPr="003B0128">
        <w:t>Lion and Bull Ox-Sculpture</w:t>
      </w:r>
      <w:r w:rsidR="003B0128" w:rsidRPr="003B0128">
        <w:t xml:space="preserve"> for Nowruz</w:t>
      </w:r>
      <w:r w:rsidRPr="003B0128">
        <w:t>-Limestone-</w:t>
      </w:r>
      <w:r w:rsidR="003B0128" w:rsidRPr="003B0128">
        <w:t>500 BCE</w:t>
      </w:r>
    </w:p>
    <w:p w:rsidR="003053DF" w:rsidRDefault="003053DF">
      <w:r>
        <w:rPr>
          <w:noProof/>
        </w:rPr>
        <w:drawing>
          <wp:inline distT="0" distB="0" distL="0" distR="0" wp14:anchorId="0A8CBE9D" wp14:editId="50F6912D">
            <wp:extent cx="5943600" cy="4498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498340"/>
                    </a:xfrm>
                    <a:prstGeom prst="rect">
                      <a:avLst/>
                    </a:prstGeom>
                  </pic:spPr>
                </pic:pic>
              </a:graphicData>
            </a:graphic>
          </wp:inline>
        </w:drawing>
      </w:r>
    </w:p>
    <w:p w:rsidR="003053DF" w:rsidRDefault="003053DF">
      <w:r>
        <w:rPr>
          <w:noProof/>
        </w:rPr>
        <w:lastRenderedPageBreak/>
        <w:drawing>
          <wp:inline distT="0" distB="0" distL="0" distR="0" wp14:anchorId="6FFB6827" wp14:editId="59277F4F">
            <wp:extent cx="5943600" cy="3996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96690"/>
                    </a:xfrm>
                    <a:prstGeom prst="rect">
                      <a:avLst/>
                    </a:prstGeom>
                  </pic:spPr>
                </pic:pic>
              </a:graphicData>
            </a:graphic>
          </wp:inline>
        </w:drawing>
      </w:r>
    </w:p>
    <w:p w:rsidR="003B0128" w:rsidRDefault="003B0128">
      <w:r>
        <w:t xml:space="preserve">Figs. 1-2. </w:t>
      </w:r>
      <w:r w:rsidRPr="003B0128">
        <w:t>ME-Assyria-Persepolis-Palace of Darius-Lion and Bull Ox-</w:t>
      </w:r>
      <w:proofErr w:type="gramStart"/>
      <w:r w:rsidRPr="003B0128">
        <w:t>Sculpture  for</w:t>
      </w:r>
      <w:proofErr w:type="gramEnd"/>
      <w:r w:rsidRPr="003B0128">
        <w:t xml:space="preserve"> Nowruz-Limestone-500 BCE</w:t>
      </w:r>
      <w:r>
        <w:t>. From a plaster cast in the British Museum.</w:t>
      </w:r>
    </w:p>
    <w:p w:rsidR="003B0128" w:rsidRDefault="003B0128" w:rsidP="003B0128">
      <w:pPr>
        <w:rPr>
          <w:rStyle w:val="Strong"/>
        </w:rPr>
      </w:pPr>
      <w:r>
        <w:rPr>
          <w:rStyle w:val="Strong"/>
        </w:rPr>
        <w:t>Case no.:</w:t>
      </w:r>
      <w:r>
        <w:rPr>
          <w:rStyle w:val="Strong"/>
        </w:rPr>
        <w:t xml:space="preserve"> 3</w:t>
      </w:r>
    </w:p>
    <w:p w:rsidR="003B0128" w:rsidRDefault="003B0128" w:rsidP="003B0128">
      <w:pPr>
        <w:rPr>
          <w:rStyle w:val="Strong"/>
        </w:rPr>
      </w:pPr>
      <w:r>
        <w:rPr>
          <w:rStyle w:val="Strong"/>
        </w:rPr>
        <w:t>Accession Number:</w:t>
      </w:r>
    </w:p>
    <w:p w:rsidR="003B0128" w:rsidRPr="003B0128" w:rsidRDefault="003B0128" w:rsidP="003B0128">
      <w:pPr>
        <w:rPr>
          <w:rStyle w:val="Strong"/>
          <w:b w:val="0"/>
          <w:bCs w:val="0"/>
        </w:rPr>
      </w:pPr>
      <w:r>
        <w:rPr>
          <w:rStyle w:val="Strong"/>
        </w:rPr>
        <w:t>Formal Label:</w:t>
      </w:r>
      <w:r>
        <w:rPr>
          <w:rStyle w:val="Strong"/>
        </w:rPr>
        <w:t xml:space="preserve"> </w:t>
      </w:r>
      <w:r w:rsidRPr="003B0128">
        <w:t>ME-Assyria-Persepolis-Palace of Darius-Lion and Bull Ox-</w:t>
      </w:r>
      <w:proofErr w:type="gramStart"/>
      <w:r w:rsidRPr="003B0128">
        <w:t>Sculpture  for</w:t>
      </w:r>
      <w:proofErr w:type="gramEnd"/>
      <w:r w:rsidRPr="003B0128">
        <w:t xml:space="preserve"> Nowruz-Limestone-500 BCE</w:t>
      </w:r>
    </w:p>
    <w:p w:rsidR="00BE7F17" w:rsidRDefault="003B0128" w:rsidP="00BE7F17">
      <w:pPr>
        <w:rPr>
          <w:b/>
          <w:bCs/>
        </w:rPr>
      </w:pPr>
      <w:r w:rsidRPr="00ED4BF3">
        <w:rPr>
          <w:b/>
          <w:bCs/>
        </w:rPr>
        <w:t>Display Description:</w:t>
      </w:r>
    </w:p>
    <w:p w:rsidR="003B0128" w:rsidRPr="00697736" w:rsidRDefault="003B0128" w:rsidP="00697736">
      <w:pPr>
        <w:rPr>
          <w:b/>
          <w:bCs/>
        </w:rPr>
      </w:pPr>
      <w:r w:rsidRPr="00BE7F17">
        <w:t xml:space="preserve">Part of a bas relief of a lion attacking a bull in </w:t>
      </w:r>
      <w:r w:rsidR="00BE7F17">
        <w:t xml:space="preserve">the </w:t>
      </w:r>
      <w:r w:rsidR="00BE7F17" w:rsidRPr="00BE7F17">
        <w:t>audience hall (</w:t>
      </w:r>
      <w:proofErr w:type="spellStart"/>
      <w:r w:rsidR="00BE7F17" w:rsidRPr="00BE7F17">
        <w:t>Apadana</w:t>
      </w:r>
      <w:proofErr w:type="spellEnd"/>
      <w:r w:rsidR="00BE7F17" w:rsidRPr="00BE7F17">
        <w:t xml:space="preserve">) of the </w:t>
      </w:r>
      <w:r w:rsidRPr="00BE7F17">
        <w:t>Palace of Darius at Persepolis, Iran,</w:t>
      </w:r>
      <w:r w:rsidR="00BE7F17">
        <w:t xml:space="preserve"> begun 515 BCE, </w:t>
      </w:r>
      <w:r w:rsidRPr="00BE7F17">
        <w:t xml:space="preserve">referring to </w:t>
      </w:r>
      <w:r w:rsidR="00BE7F17">
        <w:t xml:space="preserve">the </w:t>
      </w:r>
      <w:r w:rsidRPr="00BE7F17">
        <w:t xml:space="preserve">Zoroastrian Nowruz, from a </w:t>
      </w:r>
      <w:r w:rsidR="00BE7F17">
        <w:t>19</w:t>
      </w:r>
      <w:r w:rsidR="00BE7F17" w:rsidRPr="00BE7F17">
        <w:rPr>
          <w:vertAlign w:val="superscript"/>
        </w:rPr>
        <w:t>th</w:t>
      </w:r>
      <w:r w:rsidRPr="00BE7F17">
        <w:t xml:space="preserve"> c plaster cast in British Museum.</w:t>
      </w:r>
      <w:r w:rsidRPr="003F590C">
        <w:rPr>
          <w:shd w:val="clear" w:color="auto" w:fill="D6D6DA"/>
        </w:rPr>
        <w:t xml:space="preserve"> </w:t>
      </w:r>
      <w:r w:rsidRPr="003F590C">
        <w:rPr>
          <w:color w:val="222222"/>
          <w:shd w:val="clear" w:color="auto" w:fill="FFFFFF"/>
        </w:rPr>
        <w:t>Nowruz (</w:t>
      </w:r>
      <w:r w:rsidRPr="00BE7F17">
        <w:rPr>
          <w:shd w:val="clear" w:color="auto" w:fill="FFFFFF"/>
        </w:rPr>
        <w:t>Persian</w:t>
      </w:r>
      <w:r w:rsidRPr="003F590C">
        <w:rPr>
          <w:color w:val="222222"/>
          <w:shd w:val="clear" w:color="auto" w:fill="FFFFFF"/>
        </w:rPr>
        <w:t>: </w:t>
      </w:r>
      <w:r w:rsidRPr="00BE7F17">
        <w:rPr>
          <w:color w:val="222222"/>
          <w:sz w:val="28"/>
          <w:szCs w:val="28"/>
          <w:shd w:val="clear" w:color="auto" w:fill="FFFFFF"/>
          <w:rtl/>
          <w:lang w:bidi="fa-IR"/>
        </w:rPr>
        <w:t>نوروز</w:t>
      </w:r>
      <w:r w:rsidRPr="00BE7F17">
        <w:rPr>
          <w:color w:val="222222"/>
          <w:sz w:val="28"/>
          <w:szCs w:val="28"/>
          <w:shd w:val="clear" w:color="auto" w:fill="FFFFFF"/>
        </w:rPr>
        <w:t>‎</w:t>
      </w:r>
      <w:r w:rsidRPr="003F590C">
        <w:rPr>
          <w:color w:val="222222"/>
          <w:shd w:val="clear" w:color="auto" w:fill="FFFFFF"/>
        </w:rPr>
        <w:t> </w:t>
      </w:r>
      <w:r w:rsidRPr="003F590C">
        <w:rPr>
          <w:i/>
          <w:iCs/>
          <w:color w:val="222222"/>
          <w:shd w:val="clear" w:color="auto" w:fill="FFFFFF"/>
        </w:rPr>
        <w:t>Nowruz</w:t>
      </w:r>
      <w:r w:rsidRPr="003F590C">
        <w:rPr>
          <w:color w:val="222222"/>
          <w:shd w:val="clear" w:color="auto" w:fill="FFFFFF"/>
        </w:rPr>
        <w:t>, </w:t>
      </w:r>
      <w:hyperlink r:id="rId6" w:tooltip="Help:IPA/Persian" w:history="1">
        <w:r w:rsidRPr="003F590C">
          <w:rPr>
            <w:rStyle w:val="Hyperlink"/>
            <w:color w:val="0B0080"/>
            <w:shd w:val="clear" w:color="auto" w:fill="FFFFFF"/>
          </w:rPr>
          <w:t>[</w:t>
        </w:r>
        <w:proofErr w:type="spellStart"/>
        <w:r w:rsidRPr="003F590C">
          <w:rPr>
            <w:rStyle w:val="Hyperlink"/>
            <w:color w:val="0B0080"/>
            <w:shd w:val="clear" w:color="auto" w:fill="FFFFFF"/>
          </w:rPr>
          <w:t>nouˈɾuːz</w:t>
        </w:r>
        <w:proofErr w:type="spellEnd"/>
        <w:r w:rsidRPr="003F590C">
          <w:rPr>
            <w:rStyle w:val="Hyperlink"/>
            <w:color w:val="0B0080"/>
            <w:shd w:val="clear" w:color="auto" w:fill="FFFFFF"/>
          </w:rPr>
          <w:t>]</w:t>
        </w:r>
      </w:hyperlink>
      <w:r w:rsidRPr="003F590C">
        <w:rPr>
          <w:color w:val="222222"/>
          <w:shd w:val="clear" w:color="auto" w:fill="FFFFFF"/>
        </w:rPr>
        <w:t>; literally "new day") is the name of the </w:t>
      </w:r>
      <w:r w:rsidRPr="00BE7F17">
        <w:rPr>
          <w:shd w:val="clear" w:color="auto" w:fill="FFFFFF"/>
        </w:rPr>
        <w:t>Iranian</w:t>
      </w:r>
      <w:r w:rsidRPr="003F590C">
        <w:rPr>
          <w:color w:val="222222"/>
          <w:shd w:val="clear" w:color="auto" w:fill="FFFFFF"/>
        </w:rPr>
        <w:t> </w:t>
      </w:r>
      <w:r w:rsidRPr="00BE7F17">
        <w:rPr>
          <w:shd w:val="clear" w:color="auto" w:fill="FFFFFF"/>
        </w:rPr>
        <w:t>New Year's Day</w:t>
      </w:r>
      <w:r w:rsidRPr="003F590C">
        <w:rPr>
          <w:color w:val="222222"/>
          <w:shd w:val="clear" w:color="auto" w:fill="FFFFFF"/>
        </w:rPr>
        <w:t>,</w:t>
      </w:r>
      <w:r w:rsidR="00BE7F17">
        <w:rPr>
          <w:color w:val="222222"/>
          <w:shd w:val="clear" w:color="auto" w:fill="FFFFFF"/>
        </w:rPr>
        <w:t xml:space="preserve"> </w:t>
      </w:r>
      <w:r w:rsidRPr="003F590C">
        <w:rPr>
          <w:color w:val="222222"/>
          <w:shd w:val="clear" w:color="auto" w:fill="FFFFFF"/>
        </w:rPr>
        <w:t>also known as the </w:t>
      </w:r>
      <w:r w:rsidRPr="00BE7F17">
        <w:rPr>
          <w:i/>
          <w:iCs/>
          <w:color w:val="222222"/>
          <w:shd w:val="clear" w:color="auto" w:fill="FFFFFF"/>
        </w:rPr>
        <w:t>Persian</w:t>
      </w:r>
      <w:r w:rsidRPr="003F590C">
        <w:rPr>
          <w:i/>
          <w:iCs/>
          <w:color w:val="222222"/>
          <w:shd w:val="clear" w:color="auto" w:fill="FFFFFF"/>
        </w:rPr>
        <w:t> New Year</w:t>
      </w:r>
      <w:r w:rsidR="003F590C">
        <w:rPr>
          <w:color w:val="222222"/>
          <w:shd w:val="clear" w:color="auto" w:fill="FFFFFF"/>
        </w:rPr>
        <w:t xml:space="preserve"> (</w:t>
      </w:r>
      <w:hyperlink r:id="rId7" w:history="1">
        <w:r w:rsidR="003F590C">
          <w:rPr>
            <w:rStyle w:val="Hyperlink"/>
            <w:i/>
            <w:iCs/>
          </w:rPr>
          <w:t>"Culture of Iran: No-Rooz, The Iranian New Year at Present Times"</w:t>
        </w:r>
      </w:hyperlink>
      <w:r w:rsidR="003F590C">
        <w:rPr>
          <w:rStyle w:val="HTMLCite"/>
        </w:rPr>
        <w:t>. www.iranchamber.com</w:t>
      </w:r>
      <w:r w:rsidR="003F590C">
        <w:rPr>
          <w:rStyle w:val="reference-accessdate"/>
          <w:i/>
          <w:iCs/>
        </w:rPr>
        <w:t>.</w:t>
      </w:r>
      <w:r w:rsidRPr="003F590C">
        <w:rPr>
          <w:color w:val="222222"/>
          <w:shd w:val="clear" w:color="auto" w:fill="FFFFFF"/>
        </w:rPr>
        <w:t> </w:t>
      </w:r>
      <w:proofErr w:type="gramStart"/>
      <w:r w:rsidR="003F590C">
        <w:rPr>
          <w:color w:val="222222"/>
          <w:shd w:val="clear" w:color="auto" w:fill="FFFFFF"/>
        </w:rPr>
        <w:t>)</w:t>
      </w:r>
      <w:r w:rsidRPr="003F590C">
        <w:rPr>
          <w:color w:val="222222"/>
          <w:shd w:val="clear" w:color="auto" w:fill="FFFFFF"/>
        </w:rPr>
        <w:t>Nowruz</w:t>
      </w:r>
      <w:proofErr w:type="gramEnd"/>
      <w:r w:rsidRPr="003F590C">
        <w:rPr>
          <w:color w:val="222222"/>
          <w:shd w:val="clear" w:color="auto" w:fill="FFFFFF"/>
        </w:rPr>
        <w:t xml:space="preserve"> is the day of the </w:t>
      </w:r>
      <w:r w:rsidRPr="00697736">
        <w:rPr>
          <w:shd w:val="clear" w:color="auto" w:fill="FFFFFF"/>
        </w:rPr>
        <w:t>vernal equinox</w:t>
      </w:r>
      <w:r w:rsidRPr="003F590C">
        <w:rPr>
          <w:color w:val="222222"/>
          <w:shd w:val="clear" w:color="auto" w:fill="FFFFFF"/>
        </w:rPr>
        <w:t>, and marks the beginning of spring in the </w:t>
      </w:r>
      <w:r w:rsidRPr="003F590C">
        <w:rPr>
          <w:shd w:val="clear" w:color="auto" w:fill="FFFFFF"/>
        </w:rPr>
        <w:t>Northern Hemisphere</w:t>
      </w:r>
      <w:r w:rsidRPr="003F590C">
        <w:rPr>
          <w:color w:val="222222"/>
          <w:shd w:val="clear" w:color="auto" w:fill="FFFFFF"/>
        </w:rPr>
        <w:t>. It marks the first day of the first month (</w:t>
      </w:r>
      <w:proofErr w:type="spellStart"/>
      <w:r w:rsidRPr="00697736">
        <w:rPr>
          <w:shd w:val="clear" w:color="auto" w:fill="FFFFFF"/>
        </w:rPr>
        <w:t>Farvardin</w:t>
      </w:r>
      <w:proofErr w:type="spellEnd"/>
      <w:r w:rsidRPr="003F590C">
        <w:rPr>
          <w:color w:val="222222"/>
          <w:shd w:val="clear" w:color="auto" w:fill="FFFFFF"/>
        </w:rPr>
        <w:t>) of the </w:t>
      </w:r>
      <w:r w:rsidRPr="00697736">
        <w:rPr>
          <w:shd w:val="clear" w:color="auto" w:fill="FFFFFF"/>
        </w:rPr>
        <w:t>Iranian calendar</w:t>
      </w:r>
      <w:r w:rsidR="003F590C">
        <w:rPr>
          <w:color w:val="222222"/>
          <w:shd w:val="clear" w:color="auto" w:fill="FFFFFF"/>
        </w:rPr>
        <w:t xml:space="preserve"> (</w:t>
      </w:r>
      <w:hyperlink r:id="rId8" w:history="1">
        <w:r w:rsidR="003F590C">
          <w:rPr>
            <w:rStyle w:val="Hyperlink"/>
            <w:i/>
            <w:iCs/>
          </w:rPr>
          <w:t xml:space="preserve">"What Is </w:t>
        </w:r>
        <w:proofErr w:type="spellStart"/>
        <w:r w:rsidR="003F590C">
          <w:rPr>
            <w:rStyle w:val="Hyperlink"/>
            <w:i/>
            <w:iCs/>
          </w:rPr>
          <w:t>Norooz</w:t>
        </w:r>
        <w:proofErr w:type="spellEnd"/>
        <w:r w:rsidR="003F590C">
          <w:rPr>
            <w:rStyle w:val="Hyperlink"/>
            <w:i/>
            <w:iCs/>
          </w:rPr>
          <w:t>? Greetings, History And Traditions To Celebrate The Persian New Year"</w:t>
        </w:r>
      </w:hyperlink>
      <w:r w:rsidR="003F590C">
        <w:rPr>
          <w:rStyle w:val="HTMLCite"/>
        </w:rPr>
        <w:t>. International Business Times</w:t>
      </w:r>
      <w:r w:rsidR="003F590C">
        <w:rPr>
          <w:rStyle w:val="reference-accessdate"/>
          <w:i/>
          <w:iCs/>
        </w:rPr>
        <w:t xml:space="preserve">. Retrieved </w:t>
      </w:r>
      <w:r w:rsidR="003F590C">
        <w:rPr>
          <w:rStyle w:val="nowrap"/>
          <w:i/>
          <w:iCs/>
        </w:rPr>
        <w:t>1 February</w:t>
      </w:r>
      <w:r w:rsidR="003F590C">
        <w:rPr>
          <w:rStyle w:val="reference-accessdate"/>
          <w:i/>
          <w:iCs/>
        </w:rPr>
        <w:t xml:space="preserve"> 2016</w:t>
      </w:r>
      <w:r w:rsidR="003F590C">
        <w:rPr>
          <w:rStyle w:val="HTMLCite"/>
        </w:rPr>
        <w:t>.</w:t>
      </w:r>
      <w:r w:rsidR="003F590C">
        <w:rPr>
          <w:rStyle w:val="HTMLCite"/>
        </w:rPr>
        <w:t>)</w:t>
      </w:r>
      <w:r w:rsidR="00BE7F17">
        <w:rPr>
          <w:rStyle w:val="HTMLCite"/>
        </w:rPr>
        <w:t xml:space="preserve">. </w:t>
      </w:r>
      <w:r w:rsidRPr="003F590C">
        <w:rPr>
          <w:color w:val="222222"/>
          <w:shd w:val="clear" w:color="auto" w:fill="FFFFFF"/>
        </w:rPr>
        <w:t>It usually occurs on </w:t>
      </w:r>
      <w:r w:rsidRPr="003F590C">
        <w:rPr>
          <w:shd w:val="clear" w:color="auto" w:fill="FFFFFF"/>
        </w:rPr>
        <w:t>March 21</w:t>
      </w:r>
      <w:r w:rsidRPr="003F590C">
        <w:rPr>
          <w:color w:val="222222"/>
          <w:shd w:val="clear" w:color="auto" w:fill="FFFFFF"/>
        </w:rPr>
        <w:t> or the previous or following day, depending on where it is observed</w:t>
      </w:r>
      <w:r w:rsidR="00697736">
        <w:rPr>
          <w:color w:val="222222"/>
          <w:shd w:val="clear" w:color="auto" w:fill="FFFFFF"/>
        </w:rPr>
        <w:t>, at t</w:t>
      </w:r>
      <w:r w:rsidRPr="003F590C">
        <w:rPr>
          <w:color w:val="222222"/>
          <w:shd w:val="clear" w:color="auto" w:fill="FFFFFF"/>
        </w:rPr>
        <w:t xml:space="preserve">he moment </w:t>
      </w:r>
      <w:r w:rsidR="00697736">
        <w:rPr>
          <w:color w:val="222222"/>
          <w:shd w:val="clear" w:color="auto" w:fill="FFFFFF"/>
        </w:rPr>
        <w:t xml:space="preserve">when </w:t>
      </w:r>
      <w:r w:rsidRPr="003F590C">
        <w:rPr>
          <w:color w:val="222222"/>
          <w:shd w:val="clear" w:color="auto" w:fill="FFFFFF"/>
        </w:rPr>
        <w:t>the </w:t>
      </w:r>
      <w:r w:rsidRPr="003F590C">
        <w:rPr>
          <w:shd w:val="clear" w:color="auto" w:fill="FFFFFF"/>
        </w:rPr>
        <w:t>Sun</w:t>
      </w:r>
      <w:r w:rsidRPr="003F590C">
        <w:rPr>
          <w:color w:val="222222"/>
          <w:shd w:val="clear" w:color="auto" w:fill="FFFFFF"/>
        </w:rPr>
        <w:t> crosses the </w:t>
      </w:r>
      <w:r w:rsidRPr="003F590C">
        <w:rPr>
          <w:shd w:val="clear" w:color="auto" w:fill="FFFFFF"/>
        </w:rPr>
        <w:t>celestial equator</w:t>
      </w:r>
      <w:r w:rsidR="003F590C">
        <w:t xml:space="preserve"> </w:t>
      </w:r>
      <w:r w:rsidRPr="003F590C">
        <w:rPr>
          <w:color w:val="222222"/>
          <w:shd w:val="clear" w:color="auto" w:fill="FFFFFF"/>
        </w:rPr>
        <w:lastRenderedPageBreak/>
        <w:t>and equalizes night and day</w:t>
      </w:r>
      <w:r w:rsidR="00697736">
        <w:rPr>
          <w:color w:val="222222"/>
          <w:shd w:val="clear" w:color="auto" w:fill="FFFFFF"/>
        </w:rPr>
        <w:t>. It</w:t>
      </w:r>
      <w:r w:rsidRPr="003F590C">
        <w:rPr>
          <w:color w:val="222222"/>
          <w:shd w:val="clear" w:color="auto" w:fill="FFFFFF"/>
        </w:rPr>
        <w:t xml:space="preserve"> is calculated exactly every year, and families gather together to observe the rituals.</w:t>
      </w:r>
    </w:p>
    <w:p w:rsidR="003B0128" w:rsidRPr="003F590C" w:rsidRDefault="003B0128" w:rsidP="003B0128">
      <w:pPr>
        <w:rPr>
          <w:color w:val="222222"/>
          <w:shd w:val="clear" w:color="auto" w:fill="FFFFFF"/>
        </w:rPr>
      </w:pPr>
    </w:p>
    <w:p w:rsidR="003B0128" w:rsidRPr="003F590C" w:rsidRDefault="003B0128" w:rsidP="003B0128">
      <w:pPr>
        <w:pStyle w:val="NormalWeb"/>
        <w:shd w:val="clear" w:color="auto" w:fill="FFFFFF"/>
        <w:spacing w:before="120" w:beforeAutospacing="0" w:after="120" w:afterAutospacing="0"/>
        <w:rPr>
          <w:color w:val="222222"/>
        </w:rPr>
      </w:pPr>
      <w:r w:rsidRPr="003F590C">
        <w:rPr>
          <w:color w:val="222222"/>
        </w:rPr>
        <w:t>There exist various foundation myths for Nowruz in </w:t>
      </w:r>
      <w:r w:rsidRPr="00697736">
        <w:rPr>
          <w:color w:val="222222"/>
        </w:rPr>
        <w:t>Iranian mythology</w:t>
      </w:r>
      <w:r w:rsidRPr="003F590C">
        <w:rPr>
          <w:color w:val="222222"/>
        </w:rPr>
        <w:t>.</w:t>
      </w:r>
    </w:p>
    <w:p w:rsidR="00697736" w:rsidRDefault="003B0128" w:rsidP="003B0128">
      <w:pPr>
        <w:pStyle w:val="NormalWeb"/>
        <w:shd w:val="clear" w:color="auto" w:fill="FFFFFF"/>
        <w:spacing w:before="120" w:beforeAutospacing="0" w:after="120" w:afterAutospacing="0"/>
        <w:rPr>
          <w:color w:val="222222"/>
        </w:rPr>
      </w:pPr>
      <w:r w:rsidRPr="003F590C">
        <w:rPr>
          <w:color w:val="222222"/>
        </w:rPr>
        <w:t>The </w:t>
      </w:r>
      <w:proofErr w:type="spellStart"/>
      <w:r w:rsidRPr="003F590C">
        <w:rPr>
          <w:color w:val="222222"/>
        </w:rPr>
        <w:t>Shahnameh</w:t>
      </w:r>
      <w:proofErr w:type="spellEnd"/>
      <w:r w:rsidRPr="003F590C">
        <w:rPr>
          <w:color w:val="222222"/>
        </w:rPr>
        <w:t> dates Nowruz as far back to the reign of </w:t>
      </w:r>
      <w:proofErr w:type="spellStart"/>
      <w:r w:rsidRPr="003F590C">
        <w:rPr>
          <w:color w:val="222222"/>
        </w:rPr>
        <w:t>Jamshid</w:t>
      </w:r>
      <w:proofErr w:type="spellEnd"/>
      <w:r w:rsidRPr="003F590C">
        <w:rPr>
          <w:color w:val="222222"/>
        </w:rPr>
        <w:t>, who in </w:t>
      </w:r>
      <w:r w:rsidRPr="003F590C">
        <w:rPr>
          <w:color w:val="222222"/>
        </w:rPr>
        <w:t>Zoroastrian</w:t>
      </w:r>
      <w:r w:rsidR="003F590C">
        <w:rPr>
          <w:color w:val="222222"/>
        </w:rPr>
        <w:t xml:space="preserve"> </w:t>
      </w:r>
      <w:r w:rsidRPr="003F590C">
        <w:rPr>
          <w:color w:val="222222"/>
        </w:rPr>
        <w:t>texts saved mankind from a killer winter that was destined to kill every living creature</w:t>
      </w:r>
      <w:r w:rsidR="00697736">
        <w:rPr>
          <w:color w:val="222222"/>
        </w:rPr>
        <w:t xml:space="preserve"> (</w:t>
      </w:r>
      <w:proofErr w:type="spellStart"/>
      <w:r w:rsidR="00697736">
        <w:t>Moazami</w:t>
      </w:r>
      <w:proofErr w:type="spellEnd"/>
      <w:r w:rsidR="00697736">
        <w:t xml:space="preserve">, M., 2002. The Legend of the flood in Zoroastrian Tradition. </w:t>
      </w:r>
      <w:proofErr w:type="spellStart"/>
      <w:r w:rsidR="00697736">
        <w:rPr>
          <w:i/>
          <w:iCs/>
        </w:rPr>
        <w:t>Persica</w:t>
      </w:r>
      <w:proofErr w:type="spellEnd"/>
      <w:r w:rsidR="00697736">
        <w:t xml:space="preserve">, </w:t>
      </w:r>
      <w:r w:rsidR="00697736">
        <w:rPr>
          <w:i/>
          <w:iCs/>
        </w:rPr>
        <w:t>18</w:t>
      </w:r>
      <w:r w:rsidR="00697736">
        <w:t>, pp.55-74.</w:t>
      </w:r>
      <w:r w:rsidR="00697736">
        <w:t>).</w:t>
      </w:r>
      <w:r w:rsidRPr="003F590C">
        <w:rPr>
          <w:color w:val="222222"/>
        </w:rPr>
        <w:t> </w:t>
      </w:r>
      <w:r w:rsidR="00697736">
        <w:t>Similar to the biblical account of the flood (</w:t>
      </w:r>
      <w:r w:rsidR="00697736">
        <w:rPr>
          <w:i/>
          <w:iCs/>
        </w:rPr>
        <w:t>Genesis</w:t>
      </w:r>
      <w:r w:rsidR="00697736">
        <w:t xml:space="preserve"> 6.1-9. 18.), the Akkadian Epic of </w:t>
      </w:r>
      <w:proofErr w:type="spellStart"/>
      <w:r w:rsidR="00697736">
        <w:t>Atra-Ḫasīs</w:t>
      </w:r>
      <w:proofErr w:type="spellEnd"/>
      <w:r w:rsidR="00697736">
        <w:t xml:space="preserve">, the Babylonian Epic of </w:t>
      </w:r>
      <w:proofErr w:type="spellStart"/>
      <w:r w:rsidR="00697736">
        <w:t>Gilgameš</w:t>
      </w:r>
      <w:proofErr w:type="spellEnd"/>
      <w:r w:rsidR="00697736">
        <w:t xml:space="preserve">, and the Indian tale of Manu, the Legend of the Flood is told in Zoroastrian literature. In the Iranian legend, however, the affliction is a plague from the Evil Spirit, the killer winter. </w:t>
      </w:r>
      <w:r w:rsidR="00697736">
        <w:br/>
        <w:t xml:space="preserve">The most complete account of the story of Jam is given in the second chapter of the </w:t>
      </w:r>
      <w:proofErr w:type="spellStart"/>
      <w:r w:rsidR="00697736">
        <w:rPr>
          <w:i/>
          <w:iCs/>
        </w:rPr>
        <w:t>Vidēvdād</w:t>
      </w:r>
      <w:proofErr w:type="spellEnd"/>
      <w:r w:rsidR="00697736">
        <w:t xml:space="preserve">, a part of the </w:t>
      </w:r>
      <w:proofErr w:type="spellStart"/>
      <w:r w:rsidR="00697736">
        <w:rPr>
          <w:i/>
          <w:iCs/>
        </w:rPr>
        <w:t>Avesta</w:t>
      </w:r>
      <w:proofErr w:type="spellEnd"/>
      <w:r w:rsidR="00697736">
        <w:t xml:space="preserve">, the sacred book of the Zoroastrians. The general subject of </w:t>
      </w:r>
      <w:proofErr w:type="spellStart"/>
      <w:r w:rsidR="00697736">
        <w:rPr>
          <w:i/>
          <w:iCs/>
        </w:rPr>
        <w:t>Vidēvdād</w:t>
      </w:r>
      <w:proofErr w:type="spellEnd"/>
      <w:r w:rsidR="00697736">
        <w:t xml:space="preserve"> is the rules of religious purity but it also contains some mythical and legendary narratives of old Iranian traditions such as the myth of Jam (Av. </w:t>
      </w:r>
      <w:proofErr w:type="spellStart"/>
      <w:r w:rsidR="00697736">
        <w:rPr>
          <w:i/>
          <w:iCs/>
        </w:rPr>
        <w:t>Yima</w:t>
      </w:r>
      <w:proofErr w:type="spellEnd"/>
      <w:r w:rsidR="00697736">
        <w:t>), king of the Golden Age.</w:t>
      </w:r>
      <w:r w:rsidR="00697736" w:rsidRPr="003F590C">
        <w:rPr>
          <w:color w:val="222222"/>
        </w:rPr>
        <w:t xml:space="preserve"> </w:t>
      </w:r>
    </w:p>
    <w:p w:rsidR="003B0128" w:rsidRPr="003F590C" w:rsidRDefault="003B0128" w:rsidP="003B0128">
      <w:pPr>
        <w:pStyle w:val="NormalWeb"/>
        <w:shd w:val="clear" w:color="auto" w:fill="FFFFFF"/>
        <w:spacing w:before="120" w:beforeAutospacing="0" w:after="120" w:afterAutospacing="0"/>
        <w:rPr>
          <w:color w:val="222222"/>
        </w:rPr>
      </w:pPr>
      <w:proofErr w:type="spellStart"/>
      <w:r w:rsidRPr="003F590C">
        <w:rPr>
          <w:color w:val="222222"/>
        </w:rPr>
        <w:t>Jamshid</w:t>
      </w:r>
      <w:proofErr w:type="spellEnd"/>
      <w:r w:rsidRPr="003F590C">
        <w:rPr>
          <w:color w:val="222222"/>
        </w:rPr>
        <w:t>, the mythical Iranian king, perhaps symbolizes the transition of the Proto-Iranians from animal hunting to </w:t>
      </w:r>
      <w:r w:rsidRPr="003F590C">
        <w:rPr>
          <w:color w:val="222222"/>
        </w:rPr>
        <w:t>animal husbandry</w:t>
      </w:r>
      <w:r w:rsidRPr="003F590C">
        <w:rPr>
          <w:color w:val="222222"/>
        </w:rPr>
        <w:t> and a mor</w:t>
      </w:r>
      <w:r w:rsidR="003F590C" w:rsidRPr="003F590C">
        <w:rPr>
          <w:color w:val="222222"/>
        </w:rPr>
        <w:t xml:space="preserve">e settled life in human history. </w:t>
      </w:r>
      <w:r w:rsidRPr="003F590C">
        <w:rPr>
          <w:color w:val="222222"/>
        </w:rPr>
        <w:t xml:space="preserve">In the </w:t>
      </w:r>
      <w:proofErr w:type="spellStart"/>
      <w:r w:rsidRPr="003F590C">
        <w:rPr>
          <w:color w:val="222222"/>
        </w:rPr>
        <w:t>Shahnameh</w:t>
      </w:r>
      <w:proofErr w:type="spellEnd"/>
      <w:r w:rsidRPr="003F590C">
        <w:rPr>
          <w:color w:val="222222"/>
        </w:rPr>
        <w:t xml:space="preserve"> and Iranian mythology, he is credited with the foundation of Nowruz. The book reads that </w:t>
      </w:r>
      <w:proofErr w:type="spellStart"/>
      <w:r w:rsidRPr="003F590C">
        <w:rPr>
          <w:color w:val="222222"/>
        </w:rPr>
        <w:t>Jamshid</w:t>
      </w:r>
      <w:proofErr w:type="spellEnd"/>
      <w:r w:rsidRPr="003F590C">
        <w:rPr>
          <w:color w:val="222222"/>
        </w:rPr>
        <w:t xml:space="preserve"> constructed a throne studded with gems. He had demons raise him above the earth into the heavens; there he sat on his throne like the Sun shining in the sky. The world's creatures gathered in wonder about him and the scattered jewels around him, and called this day the </w:t>
      </w:r>
      <w:r w:rsidRPr="003F590C">
        <w:rPr>
          <w:i/>
          <w:iCs/>
          <w:color w:val="222222"/>
        </w:rPr>
        <w:t>New Day</w:t>
      </w:r>
      <w:r w:rsidRPr="003F590C">
        <w:rPr>
          <w:color w:val="222222"/>
        </w:rPr>
        <w:t> (</w:t>
      </w:r>
      <w:r w:rsidRPr="003F590C">
        <w:rPr>
          <w:i/>
          <w:iCs/>
          <w:color w:val="222222"/>
        </w:rPr>
        <w:t xml:space="preserve">Now </w:t>
      </w:r>
      <w:proofErr w:type="spellStart"/>
      <w:r w:rsidRPr="003F590C">
        <w:rPr>
          <w:i/>
          <w:iCs/>
          <w:color w:val="222222"/>
        </w:rPr>
        <w:t>Ruz</w:t>
      </w:r>
      <w:proofErr w:type="spellEnd"/>
      <w:r w:rsidRPr="003F590C">
        <w:rPr>
          <w:color w:val="222222"/>
        </w:rPr>
        <w:t>). This was the first day of </w:t>
      </w:r>
      <w:proofErr w:type="spellStart"/>
      <w:r w:rsidRPr="003F590C">
        <w:rPr>
          <w:color w:val="222222"/>
        </w:rPr>
        <w:t>Farvardin</w:t>
      </w:r>
      <w:proofErr w:type="spellEnd"/>
      <w:r w:rsidRPr="003F590C">
        <w:rPr>
          <w:color w:val="222222"/>
        </w:rPr>
        <w:t>, which is the first month of the </w:t>
      </w:r>
      <w:r w:rsidRPr="003F590C">
        <w:rPr>
          <w:color w:val="222222"/>
        </w:rPr>
        <w:t>Iranian calendar</w:t>
      </w:r>
      <w:r w:rsidR="003F590C" w:rsidRPr="003F590C">
        <w:rPr>
          <w:color w:val="222222"/>
        </w:rPr>
        <w:t xml:space="preserve"> (</w:t>
      </w:r>
      <w:r w:rsidR="003F590C" w:rsidRPr="003F590C">
        <w:t xml:space="preserve">Ferdowsi, A., 2016. </w:t>
      </w:r>
      <w:proofErr w:type="spellStart"/>
      <w:r w:rsidR="003F590C" w:rsidRPr="003F590C">
        <w:rPr>
          <w:i/>
          <w:iCs/>
        </w:rPr>
        <w:t>Shahnameh</w:t>
      </w:r>
      <w:proofErr w:type="spellEnd"/>
      <w:r w:rsidR="003F590C" w:rsidRPr="003F590C">
        <w:rPr>
          <w:i/>
          <w:iCs/>
        </w:rPr>
        <w:t>: The Persian book of kings</w:t>
      </w:r>
      <w:r w:rsidR="003F590C" w:rsidRPr="003F590C">
        <w:t>. Penguin</w:t>
      </w:r>
      <w:r w:rsidR="003F590C" w:rsidRPr="003F590C">
        <w:t>)</w:t>
      </w:r>
      <w:r w:rsidR="003F590C" w:rsidRPr="003F590C">
        <w:rPr>
          <w:color w:val="222222"/>
        </w:rPr>
        <w:t xml:space="preserve"> </w:t>
      </w:r>
    </w:p>
    <w:p w:rsidR="003B0128" w:rsidRPr="003F590C" w:rsidRDefault="003B0128" w:rsidP="003B0128">
      <w:pPr>
        <w:pStyle w:val="NormalWeb"/>
        <w:shd w:val="clear" w:color="auto" w:fill="FFFFFF"/>
        <w:spacing w:before="120" w:beforeAutospacing="0" w:after="120" w:afterAutospacing="0"/>
        <w:rPr>
          <w:color w:val="222222"/>
        </w:rPr>
      </w:pPr>
      <w:r w:rsidRPr="003F590C">
        <w:rPr>
          <w:color w:val="222222"/>
        </w:rPr>
        <w:t>The first day of the </w:t>
      </w:r>
      <w:r w:rsidRPr="003F590C">
        <w:rPr>
          <w:color w:val="222222"/>
        </w:rPr>
        <w:t>Iranian calendar</w:t>
      </w:r>
      <w:r w:rsidRPr="003F590C">
        <w:rPr>
          <w:color w:val="222222"/>
        </w:rPr>
        <w:t> falls on the </w:t>
      </w:r>
      <w:r w:rsidRPr="003F590C">
        <w:rPr>
          <w:color w:val="222222"/>
        </w:rPr>
        <w:t>March equinox</w:t>
      </w:r>
      <w:r w:rsidRPr="003F590C">
        <w:rPr>
          <w:color w:val="222222"/>
        </w:rPr>
        <w:t>, the first day of spring, around 21 March. At the time of the equinox, the Sun is observed to be directly over the </w:t>
      </w:r>
      <w:r w:rsidRPr="003F590C">
        <w:rPr>
          <w:color w:val="222222"/>
        </w:rPr>
        <w:t>equator</w:t>
      </w:r>
      <w:r w:rsidRPr="003F590C">
        <w:rPr>
          <w:color w:val="222222"/>
        </w:rPr>
        <w:t>, and the north and south poles of the Earth lie along the </w:t>
      </w:r>
      <w:r w:rsidRPr="003F590C">
        <w:rPr>
          <w:color w:val="222222"/>
        </w:rPr>
        <w:t>solar terminator</w:t>
      </w:r>
      <w:r w:rsidRPr="003F590C">
        <w:rPr>
          <w:color w:val="222222"/>
        </w:rPr>
        <w:t>. Sunlight is evenly divided between the north and south </w:t>
      </w:r>
      <w:r w:rsidRPr="003F590C">
        <w:rPr>
          <w:color w:val="222222"/>
        </w:rPr>
        <w:t>hemispheres</w:t>
      </w:r>
      <w:r w:rsidRPr="003F590C">
        <w:rPr>
          <w:color w:val="222222"/>
        </w:rPr>
        <w:t>.</w:t>
      </w:r>
    </w:p>
    <w:p w:rsidR="003B0128" w:rsidRPr="003F590C" w:rsidRDefault="003B0128" w:rsidP="003F590C">
      <w:pPr>
        <w:pStyle w:val="NormalWeb"/>
        <w:shd w:val="clear" w:color="auto" w:fill="FFFFFF"/>
        <w:spacing w:before="240" w:beforeAutospacing="0" w:after="120" w:afterAutospacing="0"/>
        <w:rPr>
          <w:color w:val="222222"/>
        </w:rPr>
      </w:pPr>
      <w:r w:rsidRPr="003F590C">
        <w:rPr>
          <w:color w:val="222222"/>
        </w:rPr>
        <w:t>In around the 11th century CE, major reforms of the Iranian calendars took place and whose principal purpose were to fix the beginning of the calendar year, i.e. Nowruz, at the vernal equinox. Accordingly, the definition of Nowruz given by the Iranian scientist </w:t>
      </w:r>
      <w:proofErr w:type="spellStart"/>
      <w:r w:rsidRPr="003F590C">
        <w:rPr>
          <w:color w:val="222222"/>
        </w:rPr>
        <w:fldChar w:fldCharType="begin"/>
      </w:r>
      <w:r w:rsidRPr="003F590C">
        <w:rPr>
          <w:color w:val="222222"/>
        </w:rPr>
        <w:instrText xml:space="preserve"> HYPERLINK "https://en.wikipedia.org/wiki/Nasir_al-Din_al-Tusi" \o "Nasir al-Din al-Tusi" </w:instrText>
      </w:r>
      <w:r w:rsidRPr="003F590C">
        <w:rPr>
          <w:color w:val="222222"/>
        </w:rPr>
        <w:fldChar w:fldCharType="separate"/>
      </w:r>
      <w:r w:rsidRPr="003F590C">
        <w:rPr>
          <w:rStyle w:val="Hyperlink"/>
          <w:color w:val="0B0080"/>
        </w:rPr>
        <w:t>Tusi</w:t>
      </w:r>
      <w:proofErr w:type="spellEnd"/>
      <w:r w:rsidRPr="003F590C">
        <w:rPr>
          <w:color w:val="222222"/>
        </w:rPr>
        <w:fldChar w:fldCharType="end"/>
      </w:r>
      <w:r w:rsidRPr="003F590C">
        <w:rPr>
          <w:color w:val="222222"/>
        </w:rPr>
        <w:t> was the following: "the first day of the official New Year [Nowruz] was always the day on which the sun entered </w:t>
      </w:r>
      <w:r w:rsidRPr="003F590C">
        <w:rPr>
          <w:color w:val="222222"/>
        </w:rPr>
        <w:t>Aries</w:t>
      </w:r>
      <w:r w:rsidRPr="003F590C">
        <w:rPr>
          <w:color w:val="222222"/>
        </w:rPr>
        <w:t> before noon.</w:t>
      </w:r>
      <w:r w:rsidR="003F590C" w:rsidRPr="003F590C">
        <w:rPr>
          <w:color w:val="222222"/>
        </w:rPr>
        <w:t>” (</w:t>
      </w:r>
      <w:proofErr w:type="spellStart"/>
      <w:r w:rsidR="003F590C" w:rsidRPr="003F590C">
        <w:rPr>
          <w:color w:val="222222"/>
          <w:shd w:val="clear" w:color="auto" w:fill="FFFFFF"/>
        </w:rPr>
        <w:t>Abdollahy</w:t>
      </w:r>
      <w:proofErr w:type="spellEnd"/>
      <w:r w:rsidR="003F590C" w:rsidRPr="003F590C">
        <w:rPr>
          <w:color w:val="222222"/>
          <w:shd w:val="clear" w:color="auto" w:fill="FFFFFF"/>
        </w:rPr>
        <w:t>, R., 1990. Calendars ii. Islamic period. </w:t>
      </w:r>
      <w:proofErr w:type="spellStart"/>
      <w:r w:rsidR="003F590C" w:rsidRPr="003F590C">
        <w:rPr>
          <w:i/>
          <w:iCs/>
          <w:color w:val="222222"/>
          <w:shd w:val="clear" w:color="auto" w:fill="FFFFFF"/>
        </w:rPr>
        <w:t>Encyclopaedia</w:t>
      </w:r>
      <w:proofErr w:type="spellEnd"/>
      <w:r w:rsidR="003F590C" w:rsidRPr="003F590C">
        <w:rPr>
          <w:i/>
          <w:iCs/>
          <w:color w:val="222222"/>
          <w:shd w:val="clear" w:color="auto" w:fill="FFFFFF"/>
        </w:rPr>
        <w:t xml:space="preserve"> </w:t>
      </w:r>
      <w:proofErr w:type="spellStart"/>
      <w:r w:rsidR="003F590C" w:rsidRPr="003F590C">
        <w:rPr>
          <w:i/>
          <w:iCs/>
          <w:color w:val="222222"/>
          <w:shd w:val="clear" w:color="auto" w:fill="FFFFFF"/>
        </w:rPr>
        <w:t>Iranica</w:t>
      </w:r>
      <w:proofErr w:type="spellEnd"/>
      <w:r w:rsidR="003F590C" w:rsidRPr="003F590C">
        <w:rPr>
          <w:color w:val="222222"/>
          <w:shd w:val="clear" w:color="auto" w:fill="FFFFFF"/>
        </w:rPr>
        <w:t>, </w:t>
      </w:r>
      <w:r w:rsidR="003F590C" w:rsidRPr="003F590C">
        <w:rPr>
          <w:i/>
          <w:iCs/>
          <w:color w:val="222222"/>
          <w:shd w:val="clear" w:color="auto" w:fill="FFFFFF"/>
        </w:rPr>
        <w:t>4</w:t>
      </w:r>
      <w:r w:rsidR="003F590C" w:rsidRPr="003F590C">
        <w:rPr>
          <w:color w:val="222222"/>
          <w:shd w:val="clear" w:color="auto" w:fill="FFFFFF"/>
        </w:rPr>
        <w:t>).</w:t>
      </w:r>
    </w:p>
    <w:p w:rsidR="003B0128" w:rsidRPr="003F590C" w:rsidRDefault="003B0128" w:rsidP="003B0128">
      <w:pPr>
        <w:pStyle w:val="NormalWeb"/>
        <w:shd w:val="clear" w:color="auto" w:fill="FFFFFF"/>
        <w:spacing w:before="120" w:beforeAutospacing="0" w:after="120" w:afterAutospacing="0"/>
        <w:rPr>
          <w:color w:val="222222"/>
        </w:rPr>
      </w:pPr>
      <w:r w:rsidRPr="003F590C">
        <w:rPr>
          <w:color w:val="222222"/>
        </w:rPr>
        <w:t>Nowruz is the first day of </w:t>
      </w:r>
      <w:proofErr w:type="spellStart"/>
      <w:r w:rsidRPr="003F590C">
        <w:rPr>
          <w:color w:val="222222"/>
        </w:rPr>
        <w:t>Farvardin</w:t>
      </w:r>
      <w:proofErr w:type="spellEnd"/>
      <w:r w:rsidRPr="003F590C">
        <w:rPr>
          <w:color w:val="222222"/>
        </w:rPr>
        <w:t>, the first month of the </w:t>
      </w:r>
      <w:r w:rsidRPr="003F590C">
        <w:rPr>
          <w:color w:val="222222"/>
        </w:rPr>
        <w:t>Iranian solar calendar</w:t>
      </w:r>
      <w:r w:rsidRPr="003F590C">
        <w:rPr>
          <w:color w:val="222222"/>
        </w:rPr>
        <w:t>.</w:t>
      </w:r>
    </w:p>
    <w:p w:rsidR="003B0128" w:rsidRPr="003F590C" w:rsidRDefault="003B0128" w:rsidP="003B0128">
      <w:pPr>
        <w:pStyle w:val="NormalWeb"/>
        <w:shd w:val="clear" w:color="auto" w:fill="FFFFFF"/>
        <w:spacing w:before="120" w:beforeAutospacing="0" w:after="120" w:afterAutospacing="0"/>
        <w:rPr>
          <w:color w:val="222222"/>
        </w:rPr>
      </w:pPr>
      <w:r w:rsidRPr="003F590C">
        <w:rPr>
          <w:color w:val="222222"/>
        </w:rPr>
        <w:t>In the </w:t>
      </w:r>
      <w:proofErr w:type="spellStart"/>
      <w:r w:rsidRPr="003F590C">
        <w:rPr>
          <w:i/>
          <w:iCs/>
          <w:color w:val="222222"/>
        </w:rPr>
        <w:t>Fasli</w:t>
      </w:r>
      <w:proofErr w:type="spellEnd"/>
      <w:r w:rsidRPr="003F590C">
        <w:rPr>
          <w:color w:val="222222"/>
        </w:rPr>
        <w:t>/</w:t>
      </w:r>
      <w:proofErr w:type="spellStart"/>
      <w:r w:rsidRPr="003F590C">
        <w:rPr>
          <w:i/>
          <w:iCs/>
          <w:color w:val="222222"/>
        </w:rPr>
        <w:t>Bastani</w:t>
      </w:r>
      <w:proofErr w:type="spellEnd"/>
      <w:r w:rsidRPr="003F590C">
        <w:rPr>
          <w:color w:val="222222"/>
        </w:rPr>
        <w:t xml:space="preserve"> variant of the Zoroastrian calendar, </w:t>
      </w:r>
      <w:proofErr w:type="spellStart"/>
      <w:r w:rsidRPr="003F590C">
        <w:rPr>
          <w:color w:val="222222"/>
        </w:rPr>
        <w:t>Navroz</w:t>
      </w:r>
      <w:proofErr w:type="spellEnd"/>
      <w:r w:rsidRPr="003F590C">
        <w:rPr>
          <w:color w:val="222222"/>
        </w:rPr>
        <w:t xml:space="preserve"> is always the day of the </w:t>
      </w:r>
      <w:r w:rsidRPr="003F590C">
        <w:rPr>
          <w:color w:val="222222"/>
        </w:rPr>
        <w:t>vernal equinox</w:t>
      </w:r>
      <w:r w:rsidRPr="003F590C">
        <w:rPr>
          <w:color w:val="222222"/>
        </w:rPr>
        <w:t> (March 21).</w:t>
      </w:r>
    </w:p>
    <w:p w:rsidR="003B0128" w:rsidRPr="00464E71" w:rsidRDefault="00CD6E12" w:rsidP="003B0128">
      <w:pPr>
        <w:rPr>
          <w:b/>
          <w:bCs/>
        </w:rPr>
      </w:pPr>
      <w:r>
        <w:rPr>
          <w:b/>
          <w:bCs/>
        </w:rPr>
        <w:t xml:space="preserve">The Above is Mostly </w:t>
      </w:r>
      <w:proofErr w:type="gramStart"/>
      <w:r w:rsidR="00697736">
        <w:rPr>
          <w:b/>
          <w:bCs/>
        </w:rPr>
        <w:t>From</w:t>
      </w:r>
      <w:proofErr w:type="gramEnd"/>
      <w:r w:rsidR="00697736">
        <w:rPr>
          <w:b/>
          <w:bCs/>
        </w:rPr>
        <w:t xml:space="preserve"> Wikipedia</w:t>
      </w:r>
      <w:r>
        <w:rPr>
          <w:b/>
          <w:bCs/>
        </w:rPr>
        <w:t>, q.v.</w:t>
      </w:r>
      <w:bookmarkStart w:id="0" w:name="_GoBack"/>
      <w:bookmarkEnd w:id="0"/>
    </w:p>
    <w:p w:rsidR="003B0128" w:rsidRPr="00EB5DE2" w:rsidRDefault="003B0128" w:rsidP="003B0128">
      <w:pPr>
        <w:rPr>
          <w:b/>
          <w:bCs/>
        </w:rPr>
      </w:pPr>
      <w:r w:rsidRPr="00EB5DE2">
        <w:rPr>
          <w:b/>
          <w:bCs/>
        </w:rPr>
        <w:t>LC Classification:</w:t>
      </w:r>
    </w:p>
    <w:p w:rsidR="003B0128" w:rsidRDefault="003B0128" w:rsidP="003B0128">
      <w:r>
        <w:rPr>
          <w:rStyle w:val="Strong"/>
        </w:rPr>
        <w:t>Date or Time Horizon:</w:t>
      </w:r>
      <w:r>
        <w:t xml:space="preserve"> </w:t>
      </w:r>
      <w:r w:rsidR="00697736">
        <w:t>500 BCE</w:t>
      </w:r>
    </w:p>
    <w:p w:rsidR="003B0128" w:rsidRDefault="003B0128" w:rsidP="003B0128">
      <w:r>
        <w:rPr>
          <w:rStyle w:val="Strong"/>
        </w:rPr>
        <w:t>Geographical Area:</w:t>
      </w:r>
      <w:r>
        <w:t xml:space="preserve"> </w:t>
      </w:r>
      <w:r w:rsidR="00697736">
        <w:t>Persepolis</w:t>
      </w:r>
    </w:p>
    <w:p w:rsidR="003B0128" w:rsidRDefault="003B0128" w:rsidP="003B0128">
      <w:pPr>
        <w:rPr>
          <w:b/>
        </w:rPr>
      </w:pPr>
      <w:r w:rsidRPr="0011252F">
        <w:rPr>
          <w:b/>
        </w:rPr>
        <w:lastRenderedPageBreak/>
        <w:t>Map</w:t>
      </w:r>
      <w:r>
        <w:rPr>
          <w:b/>
        </w:rPr>
        <w:t>:</w:t>
      </w:r>
      <w:r w:rsidRPr="0011252F">
        <w:rPr>
          <w:b/>
        </w:rPr>
        <w:t xml:space="preserve"> </w:t>
      </w:r>
    </w:p>
    <w:p w:rsidR="003B0128" w:rsidRPr="0011252F" w:rsidRDefault="003B0128" w:rsidP="003B0128">
      <w:pPr>
        <w:rPr>
          <w:b/>
        </w:rPr>
      </w:pPr>
      <w:r w:rsidRPr="0011252F">
        <w:rPr>
          <w:b/>
        </w:rPr>
        <w:t>GPS coordinates:</w:t>
      </w:r>
    </w:p>
    <w:p w:rsidR="003B0128" w:rsidRPr="00697736" w:rsidRDefault="003B0128" w:rsidP="003B0128">
      <w:r>
        <w:rPr>
          <w:rStyle w:val="Strong"/>
        </w:rPr>
        <w:t>Cultural Affiliation:</w:t>
      </w:r>
      <w:r>
        <w:t xml:space="preserve"> </w:t>
      </w:r>
      <w:r w:rsidR="00697736">
        <w:t xml:space="preserve">Zoroastrian myth, </w:t>
      </w:r>
      <w:r w:rsidR="00697736" w:rsidRPr="00697736">
        <w:t>Achaemenid sculpture</w:t>
      </w:r>
    </w:p>
    <w:p w:rsidR="003B0128" w:rsidRDefault="003B0128" w:rsidP="003B0128">
      <w:r>
        <w:rPr>
          <w:rStyle w:val="Strong"/>
        </w:rPr>
        <w:t>Medi</w:t>
      </w:r>
      <w:r w:rsidR="00697736">
        <w:rPr>
          <w:rStyle w:val="Strong"/>
        </w:rPr>
        <w:t>um</w:t>
      </w:r>
      <w:r>
        <w:rPr>
          <w:rStyle w:val="Strong"/>
        </w:rPr>
        <w:t>:</w:t>
      </w:r>
      <w:r>
        <w:t xml:space="preserve"> </w:t>
      </w:r>
      <w:r w:rsidR="00697736">
        <w:t>Limestone</w:t>
      </w:r>
    </w:p>
    <w:p w:rsidR="003B0128" w:rsidRDefault="003B0128" w:rsidP="003B0128">
      <w:pPr>
        <w:rPr>
          <w:b/>
          <w:bCs/>
        </w:rPr>
      </w:pPr>
      <w:r>
        <w:rPr>
          <w:rStyle w:val="Strong"/>
        </w:rPr>
        <w:t>Dimensions:</w:t>
      </w:r>
      <w:r>
        <w:t xml:space="preserve"> </w:t>
      </w:r>
    </w:p>
    <w:p w:rsidR="003B0128" w:rsidRDefault="003B0128" w:rsidP="003B0128">
      <w:pPr>
        <w:rPr>
          <w:rStyle w:val="Strong"/>
        </w:rPr>
      </w:pPr>
      <w:r>
        <w:rPr>
          <w:rStyle w:val="Strong"/>
        </w:rPr>
        <w:t xml:space="preserve">Weight:  </w:t>
      </w:r>
    </w:p>
    <w:p w:rsidR="003B0128" w:rsidRDefault="003B0128" w:rsidP="003B0128">
      <w:pPr>
        <w:rPr>
          <w:rStyle w:val="Strong"/>
        </w:rPr>
      </w:pPr>
      <w:r>
        <w:rPr>
          <w:rStyle w:val="Strong"/>
        </w:rPr>
        <w:t>Condition:</w:t>
      </w:r>
    </w:p>
    <w:p w:rsidR="003B0128" w:rsidRDefault="003B0128" w:rsidP="003B0128">
      <w:pPr>
        <w:rPr>
          <w:b/>
          <w:bCs/>
        </w:rPr>
      </w:pPr>
      <w:r>
        <w:rPr>
          <w:rStyle w:val="Strong"/>
        </w:rPr>
        <w:t>Provenance:</w:t>
      </w:r>
      <w:r>
        <w:t xml:space="preserve"> </w:t>
      </w:r>
      <w:r w:rsidR="00697736">
        <w:t>after the British Museum plaster cast</w:t>
      </w:r>
    </w:p>
    <w:p w:rsidR="003B0128" w:rsidRDefault="003B0128" w:rsidP="003B0128">
      <w:pPr>
        <w:rPr>
          <w:b/>
          <w:bCs/>
        </w:rPr>
      </w:pPr>
      <w:r>
        <w:rPr>
          <w:b/>
          <w:bCs/>
        </w:rPr>
        <w:t>Discussion:</w:t>
      </w:r>
    </w:p>
    <w:p w:rsidR="003B0128" w:rsidRDefault="003B0128" w:rsidP="003B0128">
      <w:pPr>
        <w:rPr>
          <w:b/>
          <w:bCs/>
        </w:rPr>
      </w:pPr>
      <w:r>
        <w:rPr>
          <w:b/>
          <w:bCs/>
        </w:rPr>
        <w:t>References:</w:t>
      </w:r>
    </w:p>
    <w:p w:rsidR="00697736" w:rsidRDefault="00697736" w:rsidP="00697736">
      <w:pPr>
        <w:pStyle w:val="NormalWeb"/>
        <w:shd w:val="clear" w:color="auto" w:fill="FFFFFF"/>
        <w:spacing w:before="240" w:beforeAutospacing="0" w:after="120" w:afterAutospacing="0"/>
        <w:rPr>
          <w:color w:val="222222"/>
          <w:shd w:val="clear" w:color="auto" w:fill="FFFFFF"/>
        </w:rPr>
      </w:pPr>
      <w:proofErr w:type="spellStart"/>
      <w:r w:rsidRPr="003F590C">
        <w:rPr>
          <w:color w:val="222222"/>
          <w:shd w:val="clear" w:color="auto" w:fill="FFFFFF"/>
        </w:rPr>
        <w:t>Abdollahy</w:t>
      </w:r>
      <w:proofErr w:type="spellEnd"/>
      <w:r w:rsidRPr="003F590C">
        <w:rPr>
          <w:color w:val="222222"/>
          <w:shd w:val="clear" w:color="auto" w:fill="FFFFFF"/>
        </w:rPr>
        <w:t>, R., 1990. Calendars ii. Islamic period. </w:t>
      </w:r>
      <w:proofErr w:type="spellStart"/>
      <w:r w:rsidRPr="003F590C">
        <w:rPr>
          <w:i/>
          <w:iCs/>
          <w:color w:val="222222"/>
          <w:shd w:val="clear" w:color="auto" w:fill="FFFFFF"/>
        </w:rPr>
        <w:t>Encyclopaedia</w:t>
      </w:r>
      <w:proofErr w:type="spellEnd"/>
      <w:r w:rsidRPr="003F590C">
        <w:rPr>
          <w:i/>
          <w:iCs/>
          <w:color w:val="222222"/>
          <w:shd w:val="clear" w:color="auto" w:fill="FFFFFF"/>
        </w:rPr>
        <w:t xml:space="preserve"> </w:t>
      </w:r>
      <w:proofErr w:type="spellStart"/>
      <w:r w:rsidRPr="003F590C">
        <w:rPr>
          <w:i/>
          <w:iCs/>
          <w:color w:val="222222"/>
          <w:shd w:val="clear" w:color="auto" w:fill="FFFFFF"/>
        </w:rPr>
        <w:t>Iranica</w:t>
      </w:r>
      <w:proofErr w:type="spellEnd"/>
      <w:r w:rsidRPr="003F590C">
        <w:rPr>
          <w:color w:val="222222"/>
          <w:shd w:val="clear" w:color="auto" w:fill="FFFFFF"/>
        </w:rPr>
        <w:t>, </w:t>
      </w:r>
      <w:r w:rsidRPr="003F590C">
        <w:rPr>
          <w:i/>
          <w:iCs/>
          <w:color w:val="222222"/>
          <w:shd w:val="clear" w:color="auto" w:fill="FFFFFF"/>
        </w:rPr>
        <w:t>4</w:t>
      </w:r>
      <w:r w:rsidRPr="003F590C">
        <w:rPr>
          <w:color w:val="222222"/>
          <w:shd w:val="clear" w:color="auto" w:fill="FFFFFF"/>
        </w:rPr>
        <w:t>).</w:t>
      </w:r>
    </w:p>
    <w:p w:rsidR="00697736" w:rsidRDefault="00697736" w:rsidP="00697736">
      <w:pPr>
        <w:pStyle w:val="NormalWeb"/>
        <w:shd w:val="clear" w:color="auto" w:fill="FFFFFF"/>
        <w:spacing w:before="240" w:beforeAutospacing="0" w:after="120" w:afterAutospacing="0"/>
        <w:rPr>
          <w:rStyle w:val="HTMLCite"/>
        </w:rPr>
      </w:pPr>
      <w:r>
        <w:rPr>
          <w:color w:val="222222"/>
          <w:shd w:val="clear" w:color="auto" w:fill="FFFFFF"/>
        </w:rPr>
        <w:t>Anon</w:t>
      </w:r>
      <w:r w:rsidR="00555C87">
        <w:rPr>
          <w:color w:val="222222"/>
          <w:shd w:val="clear" w:color="auto" w:fill="FFFFFF"/>
        </w:rPr>
        <w:t xml:space="preserve"> a</w:t>
      </w:r>
      <w:r>
        <w:rPr>
          <w:color w:val="222222"/>
          <w:shd w:val="clear" w:color="auto" w:fill="FFFFFF"/>
        </w:rPr>
        <w:t xml:space="preserve">. </w:t>
      </w:r>
      <w:r w:rsidRPr="00697736">
        <w:rPr>
          <w:shd w:val="clear" w:color="auto" w:fill="FFFFFF"/>
        </w:rPr>
        <w:t>calendar</w:t>
      </w:r>
      <w:r>
        <w:rPr>
          <w:color w:val="222222"/>
          <w:shd w:val="clear" w:color="auto" w:fill="FFFFFF"/>
        </w:rPr>
        <w:t xml:space="preserve"> (</w:t>
      </w:r>
      <w:hyperlink r:id="rId9" w:history="1">
        <w:r>
          <w:rPr>
            <w:rStyle w:val="Hyperlink"/>
            <w:i/>
            <w:iCs/>
          </w:rPr>
          <w:t xml:space="preserve">"What Is </w:t>
        </w:r>
        <w:proofErr w:type="spellStart"/>
        <w:r>
          <w:rPr>
            <w:rStyle w:val="Hyperlink"/>
            <w:i/>
            <w:iCs/>
          </w:rPr>
          <w:t>Norooz</w:t>
        </w:r>
        <w:proofErr w:type="spellEnd"/>
        <w:r>
          <w:rPr>
            <w:rStyle w:val="Hyperlink"/>
            <w:i/>
            <w:iCs/>
          </w:rPr>
          <w:t>? Greetings, History And Traditions To Celebrate The Persian New Year"</w:t>
        </w:r>
      </w:hyperlink>
      <w:r>
        <w:rPr>
          <w:rStyle w:val="HTMLCite"/>
        </w:rPr>
        <w:t>. International Business Times</w:t>
      </w:r>
      <w:r>
        <w:rPr>
          <w:rStyle w:val="reference-accessdate"/>
          <w:i/>
          <w:iCs/>
        </w:rPr>
        <w:t xml:space="preserve">. Retrieved </w:t>
      </w:r>
      <w:r>
        <w:rPr>
          <w:rStyle w:val="nowrap"/>
          <w:i/>
          <w:iCs/>
        </w:rPr>
        <w:t>1 February</w:t>
      </w:r>
      <w:r>
        <w:rPr>
          <w:rStyle w:val="reference-accessdate"/>
          <w:i/>
          <w:iCs/>
        </w:rPr>
        <w:t xml:space="preserve"> 2016</w:t>
      </w:r>
      <w:r>
        <w:rPr>
          <w:rStyle w:val="HTMLCite"/>
        </w:rPr>
        <w:t>.).</w:t>
      </w:r>
    </w:p>
    <w:p w:rsidR="00697736" w:rsidRPr="003F590C" w:rsidRDefault="00697736" w:rsidP="00697736">
      <w:pPr>
        <w:pStyle w:val="NormalWeb"/>
        <w:shd w:val="clear" w:color="auto" w:fill="FFFFFF"/>
        <w:spacing w:before="240" w:beforeAutospacing="0" w:after="120" w:afterAutospacing="0"/>
        <w:rPr>
          <w:color w:val="222222"/>
        </w:rPr>
      </w:pPr>
      <w:r>
        <w:rPr>
          <w:rStyle w:val="HTMLCite"/>
        </w:rPr>
        <w:t>Anon</w:t>
      </w:r>
      <w:r w:rsidR="00555C87">
        <w:rPr>
          <w:rStyle w:val="HTMLCite"/>
        </w:rPr>
        <w:t xml:space="preserve"> b</w:t>
      </w:r>
      <w:r>
        <w:rPr>
          <w:rStyle w:val="HTMLCite"/>
        </w:rPr>
        <w:t xml:space="preserve">. </w:t>
      </w:r>
      <w:r w:rsidRPr="003F590C">
        <w:rPr>
          <w:i/>
          <w:iCs/>
          <w:color w:val="222222"/>
          <w:shd w:val="clear" w:color="auto" w:fill="FFFFFF"/>
        </w:rPr>
        <w:t>Year</w:t>
      </w:r>
      <w:r>
        <w:rPr>
          <w:color w:val="222222"/>
          <w:shd w:val="clear" w:color="auto" w:fill="FFFFFF"/>
        </w:rPr>
        <w:t xml:space="preserve"> (</w:t>
      </w:r>
      <w:hyperlink r:id="rId10" w:history="1">
        <w:r>
          <w:rPr>
            <w:rStyle w:val="Hyperlink"/>
            <w:i/>
            <w:iCs/>
          </w:rPr>
          <w:t>"Culture of Iran: No-Rooz, The Iranian New Year at Present Times"</w:t>
        </w:r>
      </w:hyperlink>
      <w:r>
        <w:rPr>
          <w:rStyle w:val="HTMLCite"/>
        </w:rPr>
        <w:t>. www.iranchamber.com</w:t>
      </w:r>
      <w:proofErr w:type="gramStart"/>
      <w:r>
        <w:rPr>
          <w:rStyle w:val="reference-accessdate"/>
          <w:i/>
          <w:iCs/>
        </w:rPr>
        <w:t>.</w:t>
      </w:r>
      <w:r w:rsidRPr="003F590C">
        <w:rPr>
          <w:color w:val="222222"/>
          <w:shd w:val="clear" w:color="auto" w:fill="FFFFFF"/>
        </w:rPr>
        <w:t> </w:t>
      </w:r>
      <w:r>
        <w:rPr>
          <w:color w:val="222222"/>
          <w:shd w:val="clear" w:color="auto" w:fill="FFFFFF"/>
        </w:rPr>
        <w:t>)</w:t>
      </w:r>
      <w:proofErr w:type="gramEnd"/>
    </w:p>
    <w:p w:rsidR="00697736" w:rsidRDefault="00697736" w:rsidP="003B0128">
      <w:r w:rsidRPr="003F590C">
        <w:t xml:space="preserve">Ferdowsi, A., 2016. </w:t>
      </w:r>
      <w:proofErr w:type="spellStart"/>
      <w:r w:rsidRPr="003F590C">
        <w:rPr>
          <w:i/>
          <w:iCs/>
        </w:rPr>
        <w:t>Shahnameh</w:t>
      </w:r>
      <w:proofErr w:type="spellEnd"/>
      <w:r w:rsidRPr="003F590C">
        <w:rPr>
          <w:i/>
          <w:iCs/>
        </w:rPr>
        <w:t>: The Persian book of kings</w:t>
      </w:r>
      <w:r w:rsidRPr="003F590C">
        <w:t>. Penguin</w:t>
      </w:r>
      <w:r>
        <w:t>.</w:t>
      </w:r>
    </w:p>
    <w:p w:rsidR="00697736" w:rsidRDefault="00697736" w:rsidP="003B0128">
      <w:proofErr w:type="spellStart"/>
      <w:r>
        <w:t>Moazami</w:t>
      </w:r>
      <w:proofErr w:type="spellEnd"/>
      <w:r>
        <w:t xml:space="preserve">, M., 2002. The Legend of the flood in Zoroastrian Tradition. </w:t>
      </w:r>
      <w:proofErr w:type="spellStart"/>
      <w:r>
        <w:rPr>
          <w:i/>
          <w:iCs/>
        </w:rPr>
        <w:t>Persica</w:t>
      </w:r>
      <w:proofErr w:type="spellEnd"/>
      <w:r>
        <w:t xml:space="preserve">, </w:t>
      </w:r>
      <w:r>
        <w:rPr>
          <w:i/>
          <w:iCs/>
        </w:rPr>
        <w:t>18</w:t>
      </w:r>
      <w:r>
        <w:t>, pp.55-74.</w:t>
      </w:r>
    </w:p>
    <w:p w:rsidR="003B0128" w:rsidRDefault="003B0128" w:rsidP="003B0128"/>
    <w:sectPr w:rsidR="003B01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3DF"/>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3DF"/>
    <w:rsid w:val="0030563B"/>
    <w:rsid w:val="00306973"/>
    <w:rsid w:val="003074BF"/>
    <w:rsid w:val="0031303A"/>
    <w:rsid w:val="0031366D"/>
    <w:rsid w:val="003164B2"/>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0128"/>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590C"/>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5C87"/>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736"/>
    <w:rsid w:val="00697C69"/>
    <w:rsid w:val="006A0243"/>
    <w:rsid w:val="006A1723"/>
    <w:rsid w:val="006A2092"/>
    <w:rsid w:val="006A4CB2"/>
    <w:rsid w:val="006A4D1D"/>
    <w:rsid w:val="006A7ACA"/>
    <w:rsid w:val="006B1AC6"/>
    <w:rsid w:val="006B1FE5"/>
    <w:rsid w:val="006B3A25"/>
    <w:rsid w:val="006B5248"/>
    <w:rsid w:val="006B5D20"/>
    <w:rsid w:val="006B6461"/>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382A"/>
    <w:rsid w:val="008F397D"/>
    <w:rsid w:val="009021C3"/>
    <w:rsid w:val="009053CB"/>
    <w:rsid w:val="00905A1F"/>
    <w:rsid w:val="00905E90"/>
    <w:rsid w:val="00907E0B"/>
    <w:rsid w:val="009101C5"/>
    <w:rsid w:val="00912319"/>
    <w:rsid w:val="00913238"/>
    <w:rsid w:val="00914248"/>
    <w:rsid w:val="00914E07"/>
    <w:rsid w:val="0091697D"/>
    <w:rsid w:val="0092370C"/>
    <w:rsid w:val="00924591"/>
    <w:rsid w:val="009245E7"/>
    <w:rsid w:val="00924E0B"/>
    <w:rsid w:val="00932658"/>
    <w:rsid w:val="00932FC6"/>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4B4"/>
    <w:rsid w:val="00A256DC"/>
    <w:rsid w:val="00A27ACD"/>
    <w:rsid w:val="00A31602"/>
    <w:rsid w:val="00A32D3D"/>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E7F17"/>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3924"/>
    <w:rsid w:val="00CC3CB1"/>
    <w:rsid w:val="00CC5942"/>
    <w:rsid w:val="00CC5976"/>
    <w:rsid w:val="00CD43BD"/>
    <w:rsid w:val="00CD4ABF"/>
    <w:rsid w:val="00CD592B"/>
    <w:rsid w:val="00CD6E12"/>
    <w:rsid w:val="00CE03AF"/>
    <w:rsid w:val="00CE3875"/>
    <w:rsid w:val="00CE40BF"/>
    <w:rsid w:val="00CE6A9A"/>
    <w:rsid w:val="00CE7085"/>
    <w:rsid w:val="00CF05AB"/>
    <w:rsid w:val="00CF08C7"/>
    <w:rsid w:val="00CF127E"/>
    <w:rsid w:val="00CF3CFF"/>
    <w:rsid w:val="00CF3E4E"/>
    <w:rsid w:val="00CF4D6F"/>
    <w:rsid w:val="00CF50DE"/>
    <w:rsid w:val="00CF6E20"/>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5A18"/>
    <w:rsid w:val="00DE7F55"/>
    <w:rsid w:val="00DF0BB4"/>
    <w:rsid w:val="00DF1411"/>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694A"/>
  <w15:chartTrackingRefBased/>
  <w15:docId w15:val="{1E19F081-EEF8-4177-BB08-0E8318A64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B0128"/>
    <w:rPr>
      <w:color w:val="0000FF"/>
      <w:u w:val="single"/>
    </w:rPr>
  </w:style>
  <w:style w:type="character" w:customStyle="1" w:styleId="ipa">
    <w:name w:val="ipa"/>
    <w:basedOn w:val="DefaultParagraphFont"/>
    <w:rsid w:val="003B0128"/>
  </w:style>
  <w:style w:type="paragraph" w:styleId="NormalWeb">
    <w:name w:val="Normal (Web)"/>
    <w:basedOn w:val="Normal"/>
    <w:uiPriority w:val="99"/>
    <w:semiHidden/>
    <w:unhideWhenUsed/>
    <w:rsid w:val="003B0128"/>
    <w:pPr>
      <w:spacing w:before="100" w:beforeAutospacing="1" w:after="100" w:afterAutospacing="1" w:line="240" w:lineRule="auto"/>
    </w:pPr>
    <w:rPr>
      <w:rFonts w:eastAsia="Times New Roman"/>
    </w:rPr>
  </w:style>
  <w:style w:type="character" w:styleId="Strong">
    <w:name w:val="Strong"/>
    <w:qFormat/>
    <w:rsid w:val="003B0128"/>
    <w:rPr>
      <w:b/>
      <w:bCs/>
    </w:rPr>
  </w:style>
  <w:style w:type="character" w:styleId="FollowedHyperlink">
    <w:name w:val="FollowedHyperlink"/>
    <w:basedOn w:val="DefaultParagraphFont"/>
    <w:uiPriority w:val="99"/>
    <w:semiHidden/>
    <w:unhideWhenUsed/>
    <w:rsid w:val="003F590C"/>
    <w:rPr>
      <w:color w:val="954F72" w:themeColor="followedHyperlink"/>
      <w:u w:val="single"/>
    </w:rPr>
  </w:style>
  <w:style w:type="character" w:styleId="HTMLCite">
    <w:name w:val="HTML Cite"/>
    <w:basedOn w:val="DefaultParagraphFont"/>
    <w:uiPriority w:val="99"/>
    <w:semiHidden/>
    <w:unhideWhenUsed/>
    <w:rsid w:val="003F590C"/>
    <w:rPr>
      <w:i/>
      <w:iCs/>
    </w:rPr>
  </w:style>
  <w:style w:type="character" w:customStyle="1" w:styleId="reference-accessdate">
    <w:name w:val="reference-accessdate"/>
    <w:basedOn w:val="DefaultParagraphFont"/>
    <w:rsid w:val="003F590C"/>
  </w:style>
  <w:style w:type="character" w:customStyle="1" w:styleId="nowrap">
    <w:name w:val="nowrap"/>
    <w:basedOn w:val="DefaultParagraphFont"/>
    <w:rsid w:val="003F59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570919">
      <w:bodyDiv w:val="1"/>
      <w:marLeft w:val="0"/>
      <w:marRight w:val="0"/>
      <w:marTop w:val="0"/>
      <w:marBottom w:val="0"/>
      <w:divBdr>
        <w:top w:val="none" w:sz="0" w:space="0" w:color="auto"/>
        <w:left w:val="none" w:sz="0" w:space="0" w:color="auto"/>
        <w:bottom w:val="none" w:sz="0" w:space="0" w:color="auto"/>
        <w:right w:val="none" w:sz="0" w:space="0" w:color="auto"/>
      </w:divBdr>
    </w:div>
    <w:div w:id="1150901980">
      <w:bodyDiv w:val="1"/>
      <w:marLeft w:val="0"/>
      <w:marRight w:val="0"/>
      <w:marTop w:val="0"/>
      <w:marBottom w:val="0"/>
      <w:divBdr>
        <w:top w:val="none" w:sz="0" w:space="0" w:color="auto"/>
        <w:left w:val="none" w:sz="0" w:space="0" w:color="auto"/>
        <w:bottom w:val="none" w:sz="0" w:space="0" w:color="auto"/>
        <w:right w:val="none" w:sz="0" w:space="0" w:color="auto"/>
      </w:divBdr>
    </w:div>
    <w:div w:id="200049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btimes.com/what-norooz-greetings-history-traditions-celebrate-persian-new-year-1562607" TargetMode="External"/><Relationship Id="rId3" Type="http://schemas.openxmlformats.org/officeDocument/2006/relationships/webSettings" Target="webSettings.xml"/><Relationship Id="rId7" Type="http://schemas.openxmlformats.org/officeDocument/2006/relationships/hyperlink" Target="http://www.iranchamber.com/culture/articles/norooz_iranian_new_year.php"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Help:IPA/Persian" TargetMode="External"/><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www.iranchamber.com/culture/articles/norooz_iranian_new_year.php" TargetMode="External"/><Relationship Id="rId4" Type="http://schemas.openxmlformats.org/officeDocument/2006/relationships/image" Target="media/image1.png"/><Relationship Id="rId9" Type="http://schemas.openxmlformats.org/officeDocument/2006/relationships/hyperlink" Target="http://www.ibtimes.com/what-norooz-greetings-history-traditions-celebrate-persian-new-year-15626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Pages>
  <Words>845</Words>
  <Characters>4818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2018-11-27T15:41:00Z</dcterms:created>
  <dcterms:modified xsi:type="dcterms:W3CDTF">2018-11-27T16:37:00Z</dcterms:modified>
</cp:coreProperties>
</file>