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030" w:rsidRPr="00132030" w:rsidRDefault="00A72685" w:rsidP="00132030">
      <w:bookmarkStart w:id="0" w:name="_GoBack"/>
      <w:bookmarkEnd w:id="0"/>
      <w:r w:rsidRPr="00132030">
        <w:t>A1140-Afr-Egy-Amulet-</w:t>
      </w:r>
      <w:r w:rsidR="00132030" w:rsidRPr="00132030">
        <w:t>Ba-</w:t>
      </w:r>
      <w:r w:rsidR="00132030">
        <w:rPr>
          <w:rStyle w:val="st"/>
        </w:rPr>
        <w:t>Saite Period</w:t>
      </w:r>
      <w:r w:rsidR="00132030">
        <w:t>-</w:t>
      </w:r>
      <w:r w:rsidR="00132030" w:rsidRPr="00132030">
        <w:t>26th Dynasty, 664-525 BCE-Blue Faience</w:t>
      </w:r>
    </w:p>
    <w:p w:rsidR="0031028B" w:rsidRDefault="0031028B"/>
    <w:p w:rsidR="000B5B0A" w:rsidRDefault="000B5B0A" w:rsidP="000B5B0A">
      <w:r>
        <w:rPr>
          <w:noProof/>
        </w:rPr>
        <w:drawing>
          <wp:inline distT="0" distB="0" distL="0" distR="0" wp14:anchorId="6E8A1746" wp14:editId="42ABB9D6">
            <wp:extent cx="1264317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77137" cy="24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10525AD" wp14:editId="4D833D02">
            <wp:extent cx="1307385" cy="24707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0772" cy="24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9106E" wp14:editId="58785095">
            <wp:extent cx="1720926" cy="2487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9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026" cy="25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0A" w:rsidRDefault="000B5B0A" w:rsidP="000B5B0A"/>
    <w:p w:rsidR="000B5B0A" w:rsidRDefault="000B5B0A" w:rsidP="000B5B0A">
      <w:pPr>
        <w:rPr>
          <w:rStyle w:val="Strong"/>
        </w:rPr>
      </w:pPr>
      <w:r>
        <w:rPr>
          <w:rStyle w:val="Strong"/>
        </w:rPr>
        <w:t>Case No.:</w:t>
      </w:r>
      <w:r w:rsidR="00083740">
        <w:rPr>
          <w:rStyle w:val="Strong"/>
        </w:rPr>
        <w:t xml:space="preserve"> </w:t>
      </w:r>
      <w:r w:rsidR="00083740" w:rsidRPr="00083740">
        <w:rPr>
          <w:rStyle w:val="Strong"/>
          <w:b w:val="0"/>
        </w:rPr>
        <w:t>2</w:t>
      </w:r>
    </w:p>
    <w:p w:rsidR="000B5B0A" w:rsidRDefault="000B5B0A" w:rsidP="000B5B0A">
      <w:pPr>
        <w:rPr>
          <w:rStyle w:val="Strong"/>
        </w:rPr>
      </w:pPr>
      <w:r>
        <w:rPr>
          <w:rStyle w:val="Strong"/>
        </w:rPr>
        <w:t>Formal Label:</w:t>
      </w:r>
      <w:r w:rsidR="005805B3">
        <w:rPr>
          <w:rStyle w:val="Strong"/>
        </w:rPr>
        <w:t xml:space="preserve"> </w:t>
      </w:r>
      <w:r w:rsidR="005805B3" w:rsidRPr="00132030">
        <w:t>Amulet-Ba-</w:t>
      </w:r>
      <w:r w:rsidR="005805B3">
        <w:rPr>
          <w:rStyle w:val="st"/>
        </w:rPr>
        <w:t>Saite Period</w:t>
      </w:r>
      <w:r w:rsidR="005805B3">
        <w:t>-</w:t>
      </w:r>
      <w:r w:rsidR="005805B3" w:rsidRPr="00132030">
        <w:t>26th Dynasty, 664-525 BCE-Blue Faience</w:t>
      </w:r>
    </w:p>
    <w:p w:rsidR="000B5B0A" w:rsidRPr="00FE7E16" w:rsidRDefault="000B5B0A" w:rsidP="00132030">
      <w:pPr>
        <w:rPr>
          <w:rStyle w:val="Strong"/>
          <w:b w:val="0"/>
          <w:bCs w:val="0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132030">
        <w:rPr>
          <w:rStyle w:val="Strong"/>
        </w:rPr>
        <w:t xml:space="preserve"> </w:t>
      </w:r>
      <w:r w:rsidR="00FE7E16" w:rsidRPr="00FE7E16">
        <w:rPr>
          <w:rStyle w:val="Strong"/>
          <w:b w:val="0"/>
        </w:rPr>
        <w:t>This</w:t>
      </w:r>
      <w:r w:rsidR="00FE7E16">
        <w:rPr>
          <w:rStyle w:val="Strong"/>
        </w:rPr>
        <w:t xml:space="preserve"> </w:t>
      </w:r>
      <w:r w:rsidR="00FE7E16">
        <w:t>a</w:t>
      </w:r>
      <w:r w:rsidR="005805B3" w:rsidRPr="00132030">
        <w:t>mule</w:t>
      </w:r>
      <w:r w:rsidR="00FE7E16">
        <w:t xml:space="preserve">t of </w:t>
      </w:r>
      <w:r w:rsidR="005805B3" w:rsidRPr="00132030">
        <w:t>Ba</w:t>
      </w:r>
      <w:r w:rsidR="00FE7E16">
        <w:t xml:space="preserve"> from the </w:t>
      </w:r>
      <w:r w:rsidR="005805B3">
        <w:rPr>
          <w:rStyle w:val="st"/>
        </w:rPr>
        <w:t>Saite Period</w:t>
      </w:r>
      <w:r w:rsidR="00FE7E16">
        <w:t xml:space="preserve"> of the </w:t>
      </w:r>
      <w:r w:rsidR="005805B3" w:rsidRPr="00132030">
        <w:t>26</w:t>
      </w:r>
      <w:r w:rsidR="00FE7E16" w:rsidRPr="00FE7E16">
        <w:rPr>
          <w:vertAlign w:val="superscript"/>
        </w:rPr>
        <w:t>th</w:t>
      </w:r>
      <w:r w:rsidR="005805B3" w:rsidRPr="00132030">
        <w:t xml:space="preserve"> Dynasty, 664-525 BCE</w:t>
      </w:r>
      <w:r w:rsidR="00083740">
        <w:t>, is</w:t>
      </w:r>
      <w:r w:rsidR="002E65A0">
        <w:t xml:space="preserve"> made of </w:t>
      </w:r>
      <w:r w:rsidR="00083740">
        <w:t>b</w:t>
      </w:r>
      <w:r w:rsidR="002E65A0">
        <w:t>lue-green f</w:t>
      </w:r>
      <w:r w:rsidR="005805B3" w:rsidRPr="00132030">
        <w:t>aience</w:t>
      </w:r>
      <w:r w:rsidR="005805B3">
        <w:t xml:space="preserve"> </w:t>
      </w:r>
      <w:r w:rsidR="002E65A0">
        <w:t>and d</w:t>
      </w:r>
      <w:r w:rsidR="00132030">
        <w:t>epicts Ba</w:t>
      </w:r>
      <w:r w:rsidR="00FE7E16">
        <w:t xml:space="preserve"> as </w:t>
      </w:r>
      <w:r w:rsidR="00132030">
        <w:t xml:space="preserve">an owl. </w:t>
      </w:r>
      <w:r w:rsidR="00FE7E16">
        <w:t xml:space="preserve">The </w:t>
      </w:r>
      <w:hyperlink r:id="rId8" w:tooltip="Ancient Egypt" w:history="1">
        <w:r w:rsidR="00FE7E16" w:rsidRPr="00FE7E16">
          <w:rPr>
            <w:rStyle w:val="Hyperlink"/>
            <w:color w:val="000000" w:themeColor="text1"/>
            <w:u w:val="none"/>
          </w:rPr>
          <w:t>Egyptians</w:t>
        </w:r>
      </w:hyperlink>
      <w:r w:rsidR="00FE7E16">
        <w:t xml:space="preserve"> believed that a </w:t>
      </w:r>
      <w:r w:rsidR="00FE7E16" w:rsidRPr="00FE7E16">
        <w:t>human</w:t>
      </w:r>
      <w:r w:rsidR="00FE7E16">
        <w:t xml:space="preserve"> </w:t>
      </w:r>
      <w:r w:rsidR="00FE7E16" w:rsidRPr="00FE7E16">
        <w:t>soul</w:t>
      </w:r>
      <w:r w:rsidR="00FE7E16">
        <w:t xml:space="preserve"> was made up of five spiritual parts: the </w:t>
      </w:r>
      <w:r w:rsidR="00FE7E16">
        <w:rPr>
          <w:i/>
          <w:iCs/>
        </w:rPr>
        <w:t>Ren</w:t>
      </w:r>
      <w:r w:rsidR="00FE7E16">
        <w:t xml:space="preserve">, the </w:t>
      </w:r>
      <w:r w:rsidR="00FE7E16">
        <w:rPr>
          <w:i/>
          <w:iCs/>
        </w:rPr>
        <w:t>Ba</w:t>
      </w:r>
      <w:r w:rsidR="00FE7E16">
        <w:t xml:space="preserve">, the </w:t>
      </w:r>
      <w:proofErr w:type="spellStart"/>
      <w:r w:rsidR="00FE7E16">
        <w:rPr>
          <w:i/>
          <w:iCs/>
        </w:rPr>
        <w:t>Ka</w:t>
      </w:r>
      <w:proofErr w:type="spellEnd"/>
      <w:r w:rsidR="00FE7E16">
        <w:t xml:space="preserve">, the </w:t>
      </w:r>
      <w:proofErr w:type="spellStart"/>
      <w:r w:rsidR="00FE7E16">
        <w:rPr>
          <w:i/>
          <w:iCs/>
        </w:rPr>
        <w:t>Sheut</w:t>
      </w:r>
      <w:proofErr w:type="spellEnd"/>
      <w:r w:rsidR="00FE7E16">
        <w:t xml:space="preserve">, and the </w:t>
      </w:r>
      <w:proofErr w:type="spellStart"/>
      <w:r w:rsidR="00FE7E16">
        <w:rPr>
          <w:i/>
          <w:iCs/>
        </w:rPr>
        <w:t>Jb</w:t>
      </w:r>
      <w:proofErr w:type="spellEnd"/>
      <w:r w:rsidR="00FE7E16">
        <w:t xml:space="preserve">, and the total body, the </w:t>
      </w:r>
      <w:r w:rsidR="00FE7E16">
        <w:rPr>
          <w:i/>
          <w:iCs/>
        </w:rPr>
        <w:t>ha</w:t>
      </w:r>
      <w:r w:rsidR="00FE7E16">
        <w:t>.</w:t>
      </w:r>
      <w:r w:rsidR="00FE7E16">
        <w:rPr>
          <w:i/>
          <w:iCs/>
        </w:rPr>
        <w:t xml:space="preserve"> </w:t>
      </w:r>
      <w:r w:rsidR="00132030">
        <w:t xml:space="preserve">Ba was </w:t>
      </w:r>
      <w:r w:rsidR="00FE7E16">
        <w:t>the person or entity itself and one of its modes of existence (</w:t>
      </w:r>
      <w:proofErr w:type="spellStart"/>
      <w:r w:rsidR="00FE7E16">
        <w:t>Zabkar</w:t>
      </w:r>
      <w:proofErr w:type="spellEnd"/>
      <w:r w:rsidR="00FE7E16">
        <w:t xml:space="preserve"> 1968</w:t>
      </w:r>
      <w:r w:rsidR="00083740">
        <w:t>)</w:t>
      </w:r>
      <w:r w:rsidR="00132030">
        <w:t>. Suspension loop on reverse.</w:t>
      </w:r>
    </w:p>
    <w:p w:rsidR="000B5B0A" w:rsidRDefault="000B5B0A" w:rsidP="000B5B0A">
      <w:pPr>
        <w:rPr>
          <w:rStyle w:val="Strong"/>
        </w:rPr>
      </w:pPr>
      <w:r>
        <w:rPr>
          <w:rStyle w:val="Strong"/>
        </w:rPr>
        <w:t>Accession Number:</w:t>
      </w:r>
      <w:r w:rsidR="00083740">
        <w:rPr>
          <w:rStyle w:val="Strong"/>
        </w:rPr>
        <w:t xml:space="preserve"> </w:t>
      </w:r>
      <w:r w:rsidR="00083740" w:rsidRPr="00083740">
        <w:rPr>
          <w:rStyle w:val="Strong"/>
          <w:b w:val="0"/>
        </w:rPr>
        <w:t>A1140</w:t>
      </w:r>
    </w:p>
    <w:p w:rsidR="000B5B0A" w:rsidRDefault="000B5B0A" w:rsidP="000B5B0A">
      <w:r>
        <w:rPr>
          <w:rStyle w:val="Strong"/>
        </w:rPr>
        <w:t>LC Classification:</w:t>
      </w:r>
      <w:r>
        <w:t xml:space="preserve"> </w:t>
      </w:r>
      <w:r w:rsidR="00083740">
        <w:t>DT62</w:t>
      </w:r>
    </w:p>
    <w:p w:rsidR="00083740" w:rsidRDefault="00083740" w:rsidP="00083740">
      <w:r>
        <w:rPr>
          <w:rStyle w:val="Strong"/>
        </w:rPr>
        <w:t>Date or Time Horizon:</w:t>
      </w:r>
      <w:r>
        <w:t xml:space="preserve"> </w:t>
      </w:r>
      <w:r w:rsidRPr="00CC74BF">
        <w:t>Saite Period, 26th Dynasty, 664–525 BCE</w:t>
      </w:r>
    </w:p>
    <w:p w:rsidR="00083740" w:rsidRDefault="00083740" w:rsidP="00083740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22168C">
        <w:rPr>
          <w:rStyle w:val="Strong"/>
          <w:b w:val="0"/>
        </w:rPr>
        <w:t>Sais, Egypt</w:t>
      </w:r>
    </w:p>
    <w:p w:rsidR="00083740" w:rsidRDefault="00083740" w:rsidP="00083740">
      <w:r>
        <w:rPr>
          <w:rStyle w:val="Strong"/>
        </w:rPr>
        <w:t>Map, GPS Coordinates:</w:t>
      </w:r>
      <w:r>
        <w:t xml:space="preserve"> </w:t>
      </w:r>
      <w:r w:rsidRPr="001756A2">
        <w:t>30.96650 30.76751</w:t>
      </w:r>
      <w:r>
        <w:t xml:space="preserve">, </w:t>
      </w:r>
      <w:r w:rsidRPr="001756A2">
        <w:t>30º57'59.41" N 30º46'3.02" E</w:t>
      </w:r>
    </w:p>
    <w:p w:rsidR="00083740" w:rsidRDefault="00083740" w:rsidP="00083740">
      <w:r>
        <w:rPr>
          <w:noProof/>
        </w:rPr>
        <w:drawing>
          <wp:inline distT="0" distB="0" distL="0" distR="0" wp14:anchorId="73DFBBA8" wp14:editId="692EFFD5">
            <wp:extent cx="2557989" cy="198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85pt;height:160.2pt" o:ole="">
            <v:imagedata r:id="rId10" o:title=""/>
          </v:shape>
          <o:OLEObject Type="Embed" ProgID="Unknown" ShapeID="_x0000_i1025" DrawAspect="Content" ObjectID="_1592035884" r:id="rId11"/>
        </w:object>
      </w:r>
    </w:p>
    <w:p w:rsidR="00083740" w:rsidRDefault="00083740" w:rsidP="00083740">
      <w:r>
        <w:t xml:space="preserve">Fig. Left. Sais on the Nile after </w:t>
      </w:r>
      <w:r w:rsidRPr="0022168C">
        <w:t>http://latitude.to/lat/30.96606/lng/30.76785</w:t>
      </w:r>
      <w:r>
        <w:t xml:space="preserve">. Fig. Sais reconstructed according to Jean-Claude </w:t>
      </w:r>
      <w:proofErr w:type="spellStart"/>
      <w:r>
        <w:t>Golvin</w:t>
      </w:r>
      <w:proofErr w:type="spellEnd"/>
      <w:r>
        <w:t>,</w:t>
      </w:r>
      <w:r w:rsidRPr="0022168C">
        <w:t xml:space="preserve"> http://jeanclaudegolvin.com/sais-2/</w:t>
      </w:r>
      <w:r>
        <w:t>.</w:t>
      </w:r>
    </w:p>
    <w:p w:rsidR="00083740" w:rsidRDefault="00083740" w:rsidP="00083740">
      <w:r>
        <w:rPr>
          <w:rStyle w:val="Strong"/>
        </w:rPr>
        <w:t>Cultural Affiliation:</w:t>
      </w:r>
      <w:r>
        <w:t xml:space="preserve"> </w:t>
      </w:r>
      <w:r w:rsidRPr="00CC74BF">
        <w:t>Saite Period, 26th Dynasty, 664–525 BCE</w:t>
      </w:r>
      <w:r w:rsidR="00F02C7A">
        <w:t>.</w:t>
      </w:r>
    </w:p>
    <w:p w:rsidR="000B5B0A" w:rsidRDefault="000B5B0A" w:rsidP="000B5B0A">
      <w:r>
        <w:rPr>
          <w:rStyle w:val="Strong"/>
        </w:rPr>
        <w:t>Medium:</w:t>
      </w:r>
      <w:r>
        <w:t xml:space="preserve"> </w:t>
      </w:r>
      <w:r w:rsidR="00083740">
        <w:t>Blue Faience</w:t>
      </w:r>
    </w:p>
    <w:p w:rsidR="000B5B0A" w:rsidRDefault="000B5B0A" w:rsidP="000B5B0A">
      <w:pPr>
        <w:rPr>
          <w:rStyle w:val="Strong"/>
        </w:rPr>
      </w:pPr>
      <w:r>
        <w:rPr>
          <w:rStyle w:val="Strong"/>
        </w:rPr>
        <w:t>Dimensions:</w:t>
      </w:r>
      <w:r w:rsidR="00083740">
        <w:rPr>
          <w:rStyle w:val="Strong"/>
        </w:rPr>
        <w:t xml:space="preserve"> </w:t>
      </w:r>
      <w:r w:rsidR="00083740" w:rsidRPr="00083740">
        <w:rPr>
          <w:rStyle w:val="Strong"/>
          <w:b w:val="0"/>
        </w:rPr>
        <w:t>H 18.850 mm,</w:t>
      </w:r>
      <w:r w:rsidRPr="00083740">
        <w:rPr>
          <w:rStyle w:val="Strong"/>
          <w:b w:val="0"/>
        </w:rPr>
        <w:t xml:space="preserve"> </w:t>
      </w:r>
      <w:r w:rsidR="00F02C7A">
        <w:rPr>
          <w:rStyle w:val="Strong"/>
          <w:b w:val="0"/>
        </w:rPr>
        <w:t>0</w:t>
      </w:r>
      <w:r w:rsidR="00083740" w:rsidRPr="00083740">
        <w:rPr>
          <w:rStyle w:val="Strong"/>
          <w:b w:val="0"/>
        </w:rPr>
        <w:t>.728 in</w:t>
      </w:r>
      <w:r w:rsidR="00083740">
        <w:rPr>
          <w:rStyle w:val="Strong"/>
          <w:b w:val="0"/>
        </w:rPr>
        <w:t>; W 11,87 mm, 0.47 in.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083740" w:rsidRPr="00F02C7A">
        <w:rPr>
          <w:rStyle w:val="Strong"/>
          <w:b w:val="0"/>
        </w:rPr>
        <w:t xml:space="preserve">1 gm, 1/8 </w:t>
      </w:r>
      <w:proofErr w:type="spellStart"/>
      <w:r w:rsidR="00083740" w:rsidRPr="00F02C7A">
        <w:rPr>
          <w:rStyle w:val="Strong"/>
          <w:b w:val="0"/>
        </w:rPr>
        <w:t>oz</w:t>
      </w:r>
      <w:proofErr w:type="spellEnd"/>
    </w:p>
    <w:p w:rsidR="000B5B0A" w:rsidRDefault="000B5B0A" w:rsidP="000B5B0A">
      <w:r>
        <w:rPr>
          <w:rStyle w:val="Strong"/>
        </w:rPr>
        <w:t>Provenance:</w:t>
      </w:r>
      <w:r w:rsidR="00083740">
        <w:rPr>
          <w:rStyle w:val="Strong"/>
        </w:rPr>
        <w:t xml:space="preserve"> </w:t>
      </w:r>
      <w:r w:rsidR="00083740" w:rsidRPr="00F02C7A">
        <w:rPr>
          <w:rStyle w:val="Strong"/>
          <w:b w:val="0"/>
        </w:rPr>
        <w:t>Old European Coll</w:t>
      </w:r>
      <w:r w:rsidR="00F02C7A" w:rsidRPr="00F02C7A">
        <w:rPr>
          <w:rStyle w:val="Strong"/>
          <w:b w:val="0"/>
        </w:rPr>
        <w:t>e</w:t>
      </w:r>
      <w:r w:rsidR="00083740" w:rsidRPr="00F02C7A">
        <w:rPr>
          <w:rStyle w:val="Strong"/>
          <w:b w:val="0"/>
        </w:rPr>
        <w:t>ction</w:t>
      </w:r>
    </w:p>
    <w:p w:rsidR="000B5B0A" w:rsidRPr="004043CB" w:rsidRDefault="000B5B0A" w:rsidP="000B5B0A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083740" w:rsidRPr="00F02C7A">
        <w:t xml:space="preserve"> Original</w:t>
      </w:r>
    </w:p>
    <w:p w:rsidR="000B5B0A" w:rsidRPr="001145A3" w:rsidRDefault="000B5B0A" w:rsidP="000B5B0A">
      <w:r w:rsidRPr="004043CB">
        <w:rPr>
          <w:b/>
        </w:rPr>
        <w:t>Discussion</w:t>
      </w:r>
      <w:r>
        <w:rPr>
          <w:b/>
        </w:rPr>
        <w:t>:</w:t>
      </w:r>
      <w:r w:rsidR="001145A3">
        <w:rPr>
          <w:b/>
        </w:rPr>
        <w:t xml:space="preserve"> </w:t>
      </w:r>
      <w:r w:rsidR="001145A3" w:rsidRPr="001145A3">
        <w:t xml:space="preserve">The deceased lives a full life through his living </w:t>
      </w:r>
      <w:r w:rsidR="001145A3" w:rsidRPr="00F02C7A">
        <w:rPr>
          <w:i/>
        </w:rPr>
        <w:t>Ba</w:t>
      </w:r>
      <w:r w:rsidR="001145A3" w:rsidRPr="001145A3">
        <w:t>, which stresses a continuous activity of the Ba through the use of the imperfective active participle “living”</w:t>
      </w:r>
      <w:r w:rsidR="001145A3">
        <w:t xml:space="preserve"> (</w:t>
      </w:r>
      <w:proofErr w:type="spellStart"/>
      <w:r w:rsidR="001145A3">
        <w:t>Zabkar</w:t>
      </w:r>
      <w:proofErr w:type="spellEnd"/>
      <w:r w:rsidR="001145A3">
        <w:t xml:space="preserve"> 1968: 142). The </w:t>
      </w:r>
      <w:r w:rsidR="001145A3" w:rsidRPr="00F02C7A">
        <w:rPr>
          <w:i/>
        </w:rPr>
        <w:t xml:space="preserve">Ba </w:t>
      </w:r>
      <w:r w:rsidR="001145A3">
        <w:t>is the living individual, quite apart from the corpse, which however, can b</w:t>
      </w:r>
      <w:r w:rsidR="00AE0E8A">
        <w:t>e</w:t>
      </w:r>
      <w:r w:rsidR="001145A3">
        <w:t xml:space="preserve"> revivified by the “opening of the </w:t>
      </w:r>
      <w:r w:rsidR="001145A3">
        <w:lastRenderedPageBreak/>
        <w:t xml:space="preserve">mouth” ceremony that enables it to partake of bodily action, but it is the Ba that is the </w:t>
      </w:r>
      <w:r w:rsidR="00AE0E8A">
        <w:t xml:space="preserve">unique </w:t>
      </w:r>
      <w:r w:rsidR="001145A3">
        <w:t>personality of the individual</w:t>
      </w:r>
      <w:r w:rsidR="00F02C7A">
        <w:t xml:space="preserve"> (Allen 2001: 161-162)</w:t>
      </w:r>
      <w:r w:rsidR="001145A3">
        <w:t xml:space="preserve">. </w:t>
      </w:r>
    </w:p>
    <w:p w:rsidR="000B5B0A" w:rsidRDefault="000B5B0A" w:rsidP="000B5B0A">
      <w:pPr>
        <w:rPr>
          <w:b/>
        </w:rPr>
      </w:pPr>
      <w:r w:rsidRPr="00050BD4">
        <w:rPr>
          <w:b/>
        </w:rPr>
        <w:t>References:</w:t>
      </w:r>
    </w:p>
    <w:p w:rsidR="00F02C7A" w:rsidRDefault="00F02C7A" w:rsidP="000B5B0A"/>
    <w:p w:rsidR="00FE7E16" w:rsidRPr="00050BD4" w:rsidRDefault="00FE7E16" w:rsidP="000B5B0A">
      <w:pPr>
        <w:rPr>
          <w:b/>
        </w:rPr>
      </w:pPr>
      <w:r>
        <w:t xml:space="preserve">Allen, James Paul. 2001. "Ba". In </w:t>
      </w:r>
      <w:r>
        <w:rPr>
          <w:i/>
          <w:iCs/>
        </w:rPr>
        <w:t>The Oxford Encyclopedia of Ancient Egypt</w:t>
      </w:r>
      <w:r>
        <w:t xml:space="preserve">, edited by Donald Bruce Redford. Vol. 1 of 3 vols. Oxford, New York, and Cairo: Oxford University Press and The American University in Cairo Press. </w:t>
      </w:r>
    </w:p>
    <w:p w:rsidR="00F02C7A" w:rsidRDefault="00F02C7A"/>
    <w:p w:rsidR="000B5B0A" w:rsidRDefault="00FE7E16">
      <w:proofErr w:type="spellStart"/>
      <w:r>
        <w:t>Žabkar</w:t>
      </w:r>
      <w:proofErr w:type="spellEnd"/>
      <w:r>
        <w:t xml:space="preserve">, Louis </w:t>
      </w:r>
      <w:proofErr w:type="spellStart"/>
      <w:r>
        <w:t>Vico</w:t>
      </w:r>
      <w:proofErr w:type="spellEnd"/>
      <w:r>
        <w:t xml:space="preserve">. 1968. </w:t>
      </w:r>
      <w:r>
        <w:rPr>
          <w:i/>
          <w:iCs/>
        </w:rPr>
        <w:t>A Study of the Ba Concept in Ancient Egyptian Texts</w:t>
      </w:r>
      <w:r>
        <w:t>. Studies in Ancient Oriental Civilization 34. Chicago: University of Chicago Press</w:t>
      </w:r>
    </w:p>
    <w:sectPr w:rsidR="000B5B0A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5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B0A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3740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5B0A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3727"/>
    <w:rsid w:val="001142D5"/>
    <w:rsid w:val="001145A3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2030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E65A0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2015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05B3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F0B"/>
    <w:rsid w:val="008B1490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2685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0E8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4E12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7C2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2C7A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7E1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A641573E-F605-48C0-84F0-36015820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5B0A"/>
    <w:rPr>
      <w:rFonts w:eastAsia="Times New Roman"/>
    </w:rPr>
  </w:style>
  <w:style w:type="paragraph" w:styleId="Heading2">
    <w:name w:val="heading 2"/>
    <w:basedOn w:val="Normal"/>
    <w:link w:val="Heading2Char"/>
    <w:uiPriority w:val="9"/>
    <w:qFormat/>
    <w:rsid w:val="0013203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0B5B0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32030"/>
    <w:rPr>
      <w:rFonts w:eastAsia="Times New Roman"/>
      <w:b/>
      <w:bCs/>
      <w:sz w:val="36"/>
      <w:szCs w:val="36"/>
    </w:rPr>
  </w:style>
  <w:style w:type="character" w:customStyle="1" w:styleId="st">
    <w:name w:val="st"/>
    <w:basedOn w:val="DefaultParagraphFont"/>
    <w:rsid w:val="00132030"/>
  </w:style>
  <w:style w:type="character" w:styleId="Hyperlink">
    <w:name w:val="Hyperlink"/>
    <w:basedOn w:val="DefaultParagraphFont"/>
    <w:uiPriority w:val="99"/>
    <w:unhideWhenUsed/>
    <w:rsid w:val="00FE7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ncient_Egypt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5" Type="http://schemas.openxmlformats.org/officeDocument/2006/relationships/image" Target="media/image2.png"/><Relationship Id="rId10" Type="http://schemas.openxmlformats.org/officeDocument/2006/relationships/image" Target="media/image5.emf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2018-07-02T15:25:00Z</dcterms:created>
  <dcterms:modified xsi:type="dcterms:W3CDTF">2018-07-02T15:25:00Z</dcterms:modified>
</cp:coreProperties>
</file>