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8.jpeg" ContentType="image/jpeg"/>
  <Override PartName="/word/media/image7.jpeg" ContentType="image/jpeg"/>
  <Override PartName="/word/media/image10.jpeg" ContentType="image/jpeg"/>
  <Override PartName="/word/media/image4.jpeg" ContentType="image/jpeg"/>
  <Override PartName="/word/media/image3.jpeg" ContentType="image/jpeg"/>
  <Override PartName="/word/media/image9.jpeg" ContentType="image/jpeg"/>
  <Override PartName="/word/media/image6.wmf" ContentType="image/x-wmf"/>
  <Override PartName="/word/media/image5.png" ContentType="image/pn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A187-Afr-Egy-Ushabti-26</w:t>
      </w:r>
      <w:r>
        <w:rPr>
          <w:vertAlign w:val="superscript"/>
        </w:rPr>
        <w:t>th</w:t>
      </w:r>
      <w:r>
        <w:rPr/>
        <w:t xml:space="preserve"> Dynasty-Ex Flinders Petrie</w:t>
      </w:r>
    </w:p>
    <w:p>
      <w:pPr>
        <w:pStyle w:val="Normal"/>
        <w:rPr/>
      </w:pPr>
      <w:r>
        <w:rPr/>
        <w:drawing>
          <wp:inline distT="0" distB="0" distL="0" distR="0">
            <wp:extent cx="1687830" cy="581025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25" t="-7" r="-25" b="-7"/>
                    <a:stretch>
                      <a:fillRect/>
                    </a:stretch>
                  </pic:blipFill>
                  <pic:spPr bwMode="auto">
                    <a:xfrm>
                      <a:off x="0" y="0"/>
                      <a:ext cx="1687830" cy="5810250"/>
                    </a:xfrm>
                    <a:prstGeom prst="rect">
                      <a:avLst/>
                    </a:prstGeom>
                  </pic:spPr>
                </pic:pic>
              </a:graphicData>
            </a:graphic>
          </wp:inline>
        </w:drawing>
      </w:r>
      <w:r>
        <w:rPr/>
        <w:drawing>
          <wp:inline distT="0" distB="0" distL="0" distR="0">
            <wp:extent cx="1769110" cy="581215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23" t="-7" r="-23" b="-7"/>
                    <a:stretch>
                      <a:fillRect/>
                    </a:stretch>
                  </pic:blipFill>
                  <pic:spPr bwMode="auto">
                    <a:xfrm>
                      <a:off x="0" y="0"/>
                      <a:ext cx="1769110" cy="5812155"/>
                    </a:xfrm>
                    <a:prstGeom prst="rect">
                      <a:avLst/>
                    </a:prstGeom>
                  </pic:spPr>
                </pic:pic>
              </a:graphicData>
            </a:graphic>
          </wp:inline>
        </w:drawing>
      </w:r>
      <w:r>
        <w:rPr/>
        <w:drawing>
          <wp:inline distT="0" distB="0" distL="0" distR="0">
            <wp:extent cx="1600200" cy="581215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26" t="-7" r="-26" b="-7"/>
                    <a:stretch>
                      <a:fillRect/>
                    </a:stretch>
                  </pic:blipFill>
                  <pic:spPr bwMode="auto">
                    <a:xfrm>
                      <a:off x="0" y="0"/>
                      <a:ext cx="1600200" cy="5812155"/>
                    </a:xfrm>
                    <a:prstGeom prst="rect">
                      <a:avLst/>
                    </a:prstGeom>
                  </pic:spPr>
                </pic:pic>
              </a:graphicData>
            </a:graphic>
          </wp:inline>
        </w:drawing>
      </w:r>
      <w:r>
        <w:rPr/>
        <w:drawing>
          <wp:inline distT="0" distB="0" distL="0" distR="0">
            <wp:extent cx="1411605" cy="582041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30" t="-7" r="-30" b="-7"/>
                    <a:stretch>
                      <a:fillRect/>
                    </a:stretch>
                  </pic:blipFill>
                  <pic:spPr bwMode="auto">
                    <a:xfrm>
                      <a:off x="0" y="0"/>
                      <a:ext cx="1411605" cy="5820410"/>
                    </a:xfrm>
                    <a:prstGeom prst="rect">
                      <a:avLst/>
                    </a:prstGeom>
                  </pic:spPr>
                </pic:pic>
              </a:graphicData>
            </a:graphic>
          </wp:inline>
        </w:drawing>
      </w:r>
    </w:p>
    <w:p>
      <w:pPr>
        <w:pStyle w:val="Normal"/>
        <w:rPr/>
      </w:pPr>
      <w:r>
        <w:rPr/>
      </w:r>
    </w:p>
    <w:p>
      <w:pPr>
        <w:pStyle w:val="Normal"/>
        <w:rPr/>
      </w:pPr>
      <w:r>
        <w:rPr>
          <w:rStyle w:val="StrongEmphasis"/>
        </w:rPr>
        <w:t>Formal Label</w:t>
      </w:r>
      <w:r>
        <w:rPr>
          <w:rStyle w:val="StrongEmphasis"/>
          <w:color w:val="000000"/>
        </w:rPr>
        <w:t>: Ushabti Figure, 26th dynasty</w:t>
      </w:r>
    </w:p>
    <w:p>
      <w:pPr>
        <w:pStyle w:val="Normal"/>
        <w:rPr/>
      </w:pPr>
      <w:r>
        <w:rPr>
          <w:b/>
          <w:color w:val="000000"/>
        </w:rPr>
        <w:t>Display Description</w:t>
      </w:r>
      <w:r>
        <w:rPr>
          <w:rStyle w:val="StrongEmphasis"/>
          <w:color w:val="000000"/>
        </w:rPr>
        <w:t xml:space="preserve">: </w:t>
      </w:r>
      <w:r>
        <w:rPr>
          <w:rStyle w:val="StrongEmphasis"/>
          <w:b w:val="false"/>
          <w:color w:val="000000"/>
        </w:rPr>
        <w:t xml:space="preserve">Superb pale blue-green color, a long striated wig, a plaited beard and is inscribed with the Saite version of chapter six of the </w:t>
      </w:r>
      <w:r>
        <w:rPr>
          <w:rStyle w:val="StrongEmphasis"/>
          <w:b w:val="false"/>
          <w:i/>
          <w:color w:val="000000"/>
        </w:rPr>
        <w:t>Book of the Dead</w:t>
      </w:r>
      <w:r>
        <w:rPr>
          <w:rStyle w:val="StrongEmphasis"/>
          <w:b w:val="false"/>
          <w:color w:val="000000"/>
        </w:rPr>
        <w:t xml:space="preserve"> in nine horizontal registers of hieroglyphs. It was believed that the recitation of this text would bring such figures to life to carry out the agricultural duties demanded of its dead master in the afterlife. In readiness, the piece carries a pick, an adze and behind its left shoulder, a seed basket.</w:t>
      </w:r>
    </w:p>
    <w:p>
      <w:pPr>
        <w:pStyle w:val="Normal"/>
        <w:rPr>
          <w:rStyle w:val="StrongEmphasis"/>
          <w:b w:val="false"/>
          <w:b w:val="false"/>
          <w:color w:val="000000"/>
        </w:rPr>
      </w:pPr>
      <w:r>
        <w:rPr>
          <w:rStyle w:val="StrongEmphasis"/>
          <w:color w:val="000000"/>
        </w:rPr>
        <w:t xml:space="preserve">Accession Number: </w:t>
      </w:r>
      <w:r>
        <w:rPr>
          <w:rStyle w:val="StrongEmphasis"/>
          <w:b w:val="false"/>
          <w:color w:val="000000"/>
        </w:rPr>
        <w:t>A187</w:t>
      </w:r>
    </w:p>
    <w:p>
      <w:pPr>
        <w:pStyle w:val="Normal"/>
        <w:rPr>
          <w:color w:val="000000"/>
        </w:rPr>
      </w:pPr>
      <w:r>
        <w:rPr>
          <w:rStyle w:val="StrongEmphasis"/>
          <w:color w:val="000000"/>
        </w:rPr>
        <w:t>LC Classification:</w:t>
      </w:r>
      <w:r>
        <w:rPr>
          <w:color w:val="000000"/>
        </w:rPr>
        <w:t xml:space="preserve"> DT62</w:t>
      </w:r>
    </w:p>
    <w:p>
      <w:pPr>
        <w:pStyle w:val="Normal"/>
        <w:rPr/>
      </w:pPr>
      <w:r>
        <w:rPr>
          <w:rStyle w:val="StrongEmphasis"/>
          <w:color w:val="000000"/>
        </w:rPr>
        <w:t>Date or Time Horizon:</w:t>
      </w:r>
      <w:r>
        <w:rPr>
          <w:color w:val="000000"/>
        </w:rPr>
        <w:t xml:space="preserve"> 26</w:t>
      </w:r>
      <w:r>
        <w:rPr>
          <w:color w:val="000000"/>
          <w:vertAlign w:val="superscript"/>
        </w:rPr>
        <w:t>th</w:t>
      </w:r>
      <w:r>
        <w:rPr>
          <w:color w:val="000000"/>
        </w:rPr>
        <w:t xml:space="preserve"> Dynasty</w:t>
      </w:r>
    </w:p>
    <w:p>
      <w:pPr>
        <w:pStyle w:val="Normal"/>
        <w:rPr>
          <w:rStyle w:val="StrongEmphasis"/>
          <w:color w:val="000000"/>
        </w:rPr>
      </w:pPr>
      <w:r>
        <w:rPr>
          <w:rStyle w:val="StrongEmphasis"/>
          <w:color w:val="000000"/>
        </w:rPr>
        <w:t xml:space="preserve">Geographical Area: </w:t>
      </w:r>
      <w:r>
        <w:rPr>
          <w:rStyle w:val="StrongEmphasis"/>
          <w:b w:val="false"/>
          <w:color w:val="000000"/>
        </w:rPr>
        <w:t>Sais, Egypt</w:t>
      </w:r>
    </w:p>
    <w:p>
      <w:pPr>
        <w:pStyle w:val="Normal"/>
        <w:rPr/>
      </w:pPr>
      <w:r>
        <w:rPr>
          <w:rStyle w:val="StrongEmphasis"/>
          <w:color w:val="000000"/>
        </w:rPr>
        <w:t>Map, GPS Coordinates:</w:t>
      </w:r>
      <w:r>
        <w:rPr>
          <w:color w:val="000000"/>
        </w:rPr>
        <w:t xml:space="preserve"> 30.96650 30.76751, 30º57'59.41" N 30º46'3.02" E</w:t>
      </w:r>
    </w:p>
    <w:p>
      <w:pPr>
        <w:pStyle w:val="Normal"/>
        <w:rPr>
          <w:color w:val="000000"/>
        </w:rPr>
      </w:pPr>
      <w:r>
        <w:rPr>
          <w:color w:val="000000"/>
          <w:lang w:val="en-US" w:eastAsia="en-US"/>
        </w:rPr>
        <w:drawing>
          <wp:inline distT="0" distB="0" distL="0" distR="0">
            <wp:extent cx="2558415" cy="1988820"/>
            <wp:effectExtent l="0" t="0" r="0" b="0"/>
            <wp:docPr id="5"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title=""/>
                    <pic:cNvPicPr>
                      <a:picLocks noChangeAspect="1" noChangeArrowheads="1"/>
                    </pic:cNvPicPr>
                  </pic:nvPicPr>
                  <pic:blipFill>
                    <a:blip r:embed="rId6"/>
                    <a:srcRect l="-12" t="-16" r="-12" b="-16"/>
                    <a:stretch>
                      <a:fillRect/>
                    </a:stretch>
                  </pic:blipFill>
                  <pic:spPr bwMode="auto">
                    <a:xfrm>
                      <a:off x="0" y="0"/>
                      <a:ext cx="2558415" cy="1988820"/>
                    </a:xfrm>
                    <a:prstGeom prst="rect">
                      <a:avLst/>
                    </a:prstGeom>
                  </pic:spPr>
                </pic:pic>
              </a:graphicData>
            </a:graphic>
          </wp:inline>
        </w:drawing>
      </w:r>
      <w:r>
        <w:rPr>
          <w:rFonts w:eastAsia="Times New Roman"/>
          <w:color w:val="000000"/>
        </w:rPr>
        <w:t xml:space="preserve"> </w:t>
      </w:r>
      <w:r>
        <w:rPr>
          <w:color w:val="000000"/>
        </w:rPr>
        <w:object>
          <v:shape id="ole_rId7" style="width:256.7pt;height:160.2pt" o:ole="">
            <v:imagedata r:id="rId8" o:title=""/>
          </v:shape>
          <o:OLEObject Type="Embed" ProgID="" ShapeID="ole_rId7" DrawAspect="Content" ObjectID="_1440435129" r:id="rId7"/>
        </w:object>
      </w:r>
    </w:p>
    <w:p>
      <w:pPr>
        <w:pStyle w:val="Normal"/>
        <w:rPr/>
      </w:pPr>
      <w:r>
        <w:rPr>
          <w:color w:val="000000"/>
        </w:rPr>
        <w:t>Fig. Left. Sais on the Nile after http://latitude.to/lat/30.96606/lng/30.76785. Fig. Sais reconstructed according to Jean-Claude Golvin, http://jeanclaudegolvin.com/sais-2</w:t>
      </w:r>
      <w:r>
        <w:rPr>
          <w:rStyle w:val="StrongEmphasis"/>
          <w:color w:val="000000"/>
        </w:rPr>
        <w:t>:</w:t>
      </w:r>
      <w:r>
        <w:rPr>
          <w:color w:val="000000"/>
        </w:rPr>
        <w:t xml:space="preserve"> </w:t>
      </w:r>
    </w:p>
    <w:p>
      <w:pPr>
        <w:pStyle w:val="Normal"/>
        <w:rPr>
          <w:color w:val="000000"/>
        </w:rPr>
      </w:pPr>
      <w:r>
        <w:rPr>
          <w:rStyle w:val="StrongEmphasis"/>
          <w:color w:val="000000"/>
        </w:rPr>
        <w:t>Cultural Affiliation:</w:t>
      </w:r>
      <w:r>
        <w:rPr>
          <w:color w:val="000000"/>
        </w:rPr>
        <w:t xml:space="preserve"> 26</w:t>
      </w:r>
      <w:r>
        <w:rPr>
          <w:color w:val="000000"/>
          <w:vertAlign w:val="superscript"/>
        </w:rPr>
        <w:t>th</w:t>
      </w:r>
      <w:r>
        <w:rPr>
          <w:color w:val="000000"/>
        </w:rPr>
        <w:t xml:space="preserve"> Dynasty</w:t>
      </w:r>
    </w:p>
    <w:p>
      <w:pPr>
        <w:pStyle w:val="Normal"/>
        <w:rPr>
          <w:color w:val="000000"/>
        </w:rPr>
      </w:pPr>
      <w:r>
        <w:rPr>
          <w:rStyle w:val="StrongEmphasis"/>
          <w:color w:val="000000"/>
        </w:rPr>
        <w:t>Medium:</w:t>
      </w:r>
      <w:r>
        <w:rPr>
          <w:color w:val="000000"/>
        </w:rPr>
        <w:t xml:space="preserve"> Blue faience</w:t>
      </w:r>
    </w:p>
    <w:p>
      <w:pPr>
        <w:pStyle w:val="Normal"/>
        <w:rPr>
          <w:rStyle w:val="StrongEmphasis"/>
          <w:b w:val="false"/>
          <w:b w:val="false"/>
          <w:color w:val="000000"/>
        </w:rPr>
      </w:pPr>
      <w:r>
        <w:rPr>
          <w:rStyle w:val="StrongEmphasis"/>
          <w:color w:val="000000"/>
        </w:rPr>
        <w:t>Dimensions: H</w:t>
      </w:r>
      <w:r>
        <w:rPr>
          <w:color w:val="000000"/>
        </w:rPr>
        <w:t xml:space="preserve"> 6.5 inches </w:t>
      </w:r>
      <w:r>
        <w:rPr>
          <w:rStyle w:val="Emphasis"/>
          <w:color w:val="000000"/>
        </w:rPr>
        <w:t>(165 mm).</w:t>
      </w:r>
      <w:r>
        <w:rPr>
          <w:color w:val="000000"/>
        </w:rPr>
        <w:t> </w:t>
      </w:r>
      <w:r>
        <w:rPr>
          <w:rStyle w:val="StrongEmphasis"/>
          <w:color w:val="000000"/>
        </w:rPr>
        <w:t xml:space="preserve"> Plinth:</w:t>
      </w:r>
      <w:r>
        <w:rPr>
          <w:color w:val="000000"/>
        </w:rPr>
        <w:t xml:space="preserve"> 17.79 mm; 0.7 in </w:t>
      </w:r>
      <w:r>
        <w:rPr>
          <w:b/>
          <w:bCs/>
          <w:color w:val="000000"/>
          <w:shd w:fill="FFFFFF" w:val="clear"/>
        </w:rPr>
        <w:br/>
      </w:r>
      <w:r>
        <w:rPr>
          <w:rStyle w:val="StrongEmphasis"/>
          <w:color w:val="000000"/>
        </w:rPr>
        <w:t xml:space="preserve">Weight: </w:t>
      </w:r>
      <w:r>
        <w:rPr>
          <w:rStyle w:val="StrongEmphasis"/>
          <w:b w:val="false"/>
          <w:color w:val="000000"/>
        </w:rPr>
        <w:t>167 gm; 5 7/8 oz with plinth.</w:t>
      </w:r>
    </w:p>
    <w:p>
      <w:pPr>
        <w:pStyle w:val="Normal"/>
        <w:rPr>
          <w:b/>
          <w:b/>
          <w:bCs/>
          <w:color w:val="000000"/>
        </w:rPr>
      </w:pPr>
      <w:r>
        <w:rPr>
          <w:rStyle w:val="StrongEmphasis"/>
          <w:color w:val="000000"/>
        </w:rPr>
        <w:t xml:space="preserve">Provenance: </w:t>
      </w:r>
      <w:r>
        <w:rPr>
          <w:rStyle w:val="StrongEmphasis"/>
          <w:b w:val="false"/>
          <w:color w:val="000000"/>
        </w:rPr>
        <w:t>ex Blanchard’s, Cairo, Egypt; then Flinders Petrie, 1926.</w:t>
      </w:r>
      <w:r>
        <w:rPr>
          <w:rStyle w:val="StrongEmphasis"/>
          <w:color w:val="000000"/>
        </w:rPr>
        <w:t xml:space="preserve"> </w:t>
      </w:r>
      <w:r>
        <w:rPr>
          <w:color w:val="000000"/>
        </w:rPr>
        <w:t>An intact and very rare museum quality example complete with attached labeling and invoice addressed to Flinders Petrie at the Semiramis Hotel, Cairo 1926.</w:t>
      </w:r>
    </w:p>
    <w:p>
      <w:pPr>
        <w:pStyle w:val="Normal"/>
        <w:rPr>
          <w:b/>
          <w:b/>
          <w:color w:val="000000"/>
        </w:rPr>
      </w:pPr>
      <w:r>
        <w:rPr>
          <w:b/>
          <w:color w:val="000000"/>
        </w:rPr>
        <w:t xml:space="preserve">Condition: </w:t>
      </w:r>
      <w:r>
        <w:rPr>
          <w:color w:val="000000"/>
        </w:rPr>
        <w:t>original.</w:t>
      </w:r>
    </w:p>
    <w:p>
      <w:pPr>
        <w:pStyle w:val="Normal"/>
        <w:rPr/>
      </w:pPr>
      <w:r>
        <w:rPr>
          <w:b/>
          <w:color w:val="000000"/>
        </w:rPr>
        <w:t xml:space="preserve">Discussion: </w:t>
      </w:r>
    </w:p>
    <w:p>
      <w:pPr>
        <w:pStyle w:val="Normal"/>
        <w:rPr>
          <w:b/>
          <w:b/>
          <w:color w:val="000000"/>
        </w:rPr>
      </w:pPr>
      <w:r>
        <w:rPr>
          <w:bCs/>
        </w:rPr>
        <w:t>Psamtik I</w:t>
      </w:r>
      <w:r>
        <w:rPr/>
        <w:t xml:space="preserve">, ruled 664–610 BCE, commanded a loose confederation of twelve Egyptian territories, based on the traditional nomes or territories (spAt, in Egyptian), and the rise of Psamtik I in power, establishing the Saitic Dynasty, which is recorded in Herodotus's </w:t>
      </w:r>
      <w:r>
        <w:rPr>
          <w:i/>
        </w:rPr>
        <w:t>Histories</w:t>
      </w:r>
      <w:r>
        <w:rPr/>
        <w:t xml:space="preserve"> (Bk II: ll. 151–157). Twenty local princelings were appointed by Esarhaddon (king of the Neo-Assyrian Empire who reigned 681 – 669 BCE) to govern Egypt. </w:t>
      </w:r>
      <w:r>
        <w:rPr>
          <w:color w:val="000000"/>
        </w:rPr>
        <w:t>In the tomb of Seti I, over eight hundred Ushabti figures were found scattered around the carcass of a slaughtered bull.</w:t>
      </w:r>
    </w:p>
    <w:p>
      <w:pPr>
        <w:pStyle w:val="Normal"/>
        <w:rPr>
          <w:b/>
          <w:b/>
          <w:color w:val="000000"/>
        </w:rPr>
      </w:pPr>
      <w:r>
        <w:rPr>
          <w:b/>
          <w:color w:val="000000"/>
        </w:rPr>
      </w:r>
    </w:p>
    <w:p>
      <w:pPr>
        <w:pStyle w:val="Normal"/>
        <w:rPr>
          <w:b/>
          <w:b/>
        </w:rPr>
      </w:pPr>
      <w:r>
        <w:rPr>
          <w:b/>
        </w:rPr>
        <w:t>References:</w:t>
      </w:r>
    </w:p>
    <w:p>
      <w:pPr>
        <w:pStyle w:val="Normal"/>
        <w:rPr/>
      </w:pPr>
      <w:r>
        <w:rPr/>
        <w:t xml:space="preserve">Aubert, J.-F. et L. Aubert. 1974. </w:t>
      </w:r>
      <w:r>
        <w:rPr>
          <w:i/>
          <w:iCs/>
        </w:rPr>
        <w:t>Statuettes Egyptiennes: Chaouabtis, Ouchebtis.</w:t>
      </w:r>
      <w:r>
        <w:rPr/>
        <w:t xml:space="preserve"> Paris, 1974.</w:t>
      </w:r>
    </w:p>
    <w:p>
      <w:pPr>
        <w:pStyle w:val="Normal"/>
        <w:rPr/>
      </w:pPr>
      <w:r>
        <w:rPr/>
      </w:r>
    </w:p>
    <w:p>
      <w:pPr>
        <w:pStyle w:val="Normal"/>
        <w:rPr/>
      </w:pPr>
      <w:r>
        <w:rPr/>
        <w:t xml:space="preserve">Janes, Glenn. 2002. </w:t>
      </w:r>
      <w:r>
        <w:rPr>
          <w:i/>
          <w:iCs/>
        </w:rPr>
        <w:t>Shabtis. A Private View, Ancient Egyptian Funerary Statuettes in European Private Collections.</w:t>
      </w:r>
      <w:r>
        <w:rPr/>
        <w:t xml:space="preserve"> Paris: Cybèle.</w:t>
      </w:r>
    </w:p>
    <w:p>
      <w:pPr>
        <w:pStyle w:val="Normal"/>
        <w:rPr/>
      </w:pPr>
      <w:r>
        <w:rPr/>
      </w:r>
    </w:p>
    <w:p>
      <w:pPr>
        <w:pStyle w:val="Normal"/>
        <w:rPr>
          <w:rFonts w:eastAsia="Arial Unicode MS"/>
        </w:rPr>
      </w:pPr>
      <w:r>
        <w:rPr/>
        <w:t xml:space="preserve">Newberry, Percy E. 1930-1957. </w:t>
      </w:r>
      <w:r>
        <w:rPr>
          <w:i/>
          <w:iCs/>
        </w:rPr>
        <w:t>Funerary Statuettes and Model Sarcophagi.</w:t>
      </w:r>
      <w:r>
        <w:rPr/>
        <w:t xml:space="preserve"> </w:t>
      </w:r>
      <w:r>
        <w:rPr>
          <w:rFonts w:eastAsia="Arial Unicode MS" w:cs="Arial Unicode MS" w:ascii="Arial Unicode MS" w:hAnsi="Arial Unicode MS"/>
          <w:color w:val="666666"/>
          <w:sz w:val="17"/>
          <w:szCs w:val="17"/>
          <w:shd w:fill="FFFFFF" w:val="clear"/>
        </w:rPr>
        <w:t> </w:t>
      </w:r>
      <w:r>
        <w:rPr>
          <w:rFonts w:eastAsia="Arial Unicode MS"/>
        </w:rPr>
        <w:t>Le Caire: Impr. de l'Institut franc</w:t>
      </w:r>
      <w:r>
        <w:rPr>
          <w:rFonts w:eastAsia="Arial Unicode MS" w:cs="Arial Unicode MS" w:ascii="Arial Unicode MS" w:hAnsi="Arial Unicode MS"/>
        </w:rPr>
        <w:t>̧</w:t>
      </w:r>
      <w:r>
        <w:rPr>
          <w:rFonts w:eastAsia="Arial Unicode MS"/>
        </w:rPr>
        <w:t>ais d'arche</w:t>
      </w:r>
      <w:r>
        <w:rPr>
          <w:rFonts w:eastAsia="Arial Unicode MS" w:cs="Arial Unicode MS" w:ascii="Arial Unicode MS" w:hAnsi="Arial Unicode MS"/>
        </w:rPr>
        <w:t>́</w:t>
      </w:r>
      <w:r>
        <w:rPr>
          <w:rFonts w:eastAsia="Arial Unicode MS"/>
        </w:rPr>
        <w:t>ologie orientale.</w:t>
      </w:r>
    </w:p>
    <w:p>
      <w:pPr>
        <w:pStyle w:val="Normal"/>
        <w:rPr>
          <w:rFonts w:eastAsia="Arial Unicode MS"/>
        </w:rPr>
      </w:pPr>
      <w:r>
        <w:rPr>
          <w:rFonts w:eastAsia="Arial Unicode MS"/>
        </w:rPr>
      </w:r>
    </w:p>
    <w:p>
      <w:pPr>
        <w:pStyle w:val="Normal"/>
        <w:rPr/>
      </w:pPr>
      <w:r>
        <w:rPr/>
        <w:t xml:space="preserve">Schneider, Hans D. 1977. </w:t>
      </w:r>
      <w:r>
        <w:rPr>
          <w:i/>
          <w:iCs/>
        </w:rPr>
        <w:t>Shabtis - An Introduction to the History of Ancient Egyptian Funerary Statuettes. With a Catalogue of the Collection of Shabtis in the National Museum of Leiden</w:t>
      </w:r>
      <w:r>
        <w:rPr/>
        <w:t>. (3 volumes, Leiden: Rijksmuseum van Oudheden Te Leiden.</w:t>
        <w:br/>
      </w:r>
    </w:p>
    <w:p>
      <w:pPr>
        <w:pStyle w:val="Normal"/>
        <w:rPr>
          <w:b/>
          <w:b/>
        </w:rPr>
      </w:pPr>
      <w:r>
        <w:rPr/>
        <w:t xml:space="preserve">Schlögl, Hermann and Andreas Brodbeck. 1990. </w:t>
      </w:r>
      <w:r>
        <w:rPr>
          <w:i/>
          <w:iCs/>
        </w:rPr>
        <w:t>Ägyptische Totenfiguren aus öffentlichen und privaten Sammlungen der Schweiz.</w:t>
      </w:r>
      <w:r>
        <w:rPr/>
        <w:t xml:space="preserve"> Orbis Biblicus et Orientalis, Series Archeologica, 7. Göttingen, Vandenhoeck &amp; Ruprecht; Freiburg Schweiz, Univ</w:t>
      </w:r>
    </w:p>
    <w:p>
      <w:pPr>
        <w:pStyle w:val="Normal"/>
        <w:rPr>
          <w:b/>
          <w:b/>
        </w:rPr>
      </w:pPr>
      <w:r>
        <w:rPr>
          <w:b/>
        </w:rPr>
      </w:r>
    </w:p>
    <w:p>
      <w:pPr>
        <w:pStyle w:val="NormalWeb"/>
        <w:rPr>
          <w:rFonts w:ascii="Arial" w:hAnsi="Arial" w:cs="Arial"/>
          <w:color w:val="000000"/>
          <w:sz w:val="20"/>
          <w:szCs w:val="20"/>
        </w:rPr>
      </w:pPr>
      <w:r>
        <w:rPr>
          <w:rFonts w:cs="Arial" w:ascii="Arial" w:hAnsi="Arial"/>
          <w:color w:val="696969"/>
          <w:sz w:val="18"/>
          <w:szCs w:val="18"/>
        </w:rPr>
        <w:t>.</w:t>
      </w:r>
      <w:r>
        <w:br w:type="page"/>
      </w:r>
    </w:p>
    <w:p>
      <w:pPr>
        <w:pStyle w:val="Normal"/>
        <w:rPr/>
      </w:pPr>
      <w:r>
        <w:rPr/>
        <w:drawing>
          <wp:inline distT="0" distB="0" distL="0" distR="0">
            <wp:extent cx="6848475" cy="538162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9"/>
                    <a:srcRect l="-7" t="-8" r="-7" b="-8"/>
                    <a:stretch>
                      <a:fillRect/>
                    </a:stretch>
                  </pic:blipFill>
                  <pic:spPr bwMode="auto">
                    <a:xfrm>
                      <a:off x="0" y="0"/>
                      <a:ext cx="6848475" cy="5381625"/>
                    </a:xfrm>
                    <a:prstGeom prst="rect">
                      <a:avLst/>
                    </a:prstGeom>
                  </pic:spPr>
                </pic:pic>
              </a:graphicData>
            </a:graphic>
          </wp:inline>
        </w:drawing>
      </w:r>
      <w:r>
        <w:rPr>
          <w:rFonts w:eastAsia="Times New Roman"/>
        </w:rPr>
        <w:t xml:space="preserve"> </w:t>
      </w:r>
      <w:r>
        <w:rPr/>
        <w:drawing>
          <wp:inline distT="0" distB="0" distL="0" distR="0">
            <wp:extent cx="6781800" cy="520065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10"/>
                    <a:srcRect l="-7" t="-9" r="-7" b="-9"/>
                    <a:stretch>
                      <a:fillRect/>
                    </a:stretch>
                  </pic:blipFill>
                  <pic:spPr bwMode="auto">
                    <a:xfrm>
                      <a:off x="0" y="0"/>
                      <a:ext cx="6781800" cy="5200650"/>
                    </a:xfrm>
                    <a:prstGeom prst="rect">
                      <a:avLst/>
                    </a:prstGeom>
                  </pic:spPr>
                </pic:pic>
              </a:graphicData>
            </a:graphic>
          </wp:inline>
        </w:drawing>
      </w:r>
      <w:r>
        <w:rPr>
          <w:rFonts w:eastAsia="Times New Roman"/>
        </w:rPr>
        <w:t xml:space="preserve"> </w:t>
      </w:r>
      <w:r>
        <w:rPr/>
        <w:drawing>
          <wp:inline distT="0" distB="0" distL="0" distR="0">
            <wp:extent cx="6534150" cy="669607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1"/>
                    <a:srcRect l="-7" t="-7" r="-7" b="-7"/>
                    <a:stretch>
                      <a:fillRect/>
                    </a:stretch>
                  </pic:blipFill>
                  <pic:spPr bwMode="auto">
                    <a:xfrm>
                      <a:off x="0" y="0"/>
                      <a:ext cx="6534150" cy="6696075"/>
                    </a:xfrm>
                    <a:prstGeom prst="rect">
                      <a:avLst/>
                    </a:prstGeom>
                  </pic:spPr>
                </pic:pic>
              </a:graphicData>
            </a:graphic>
          </wp:inline>
        </w:drawing>
      </w:r>
      <w:r>
        <w:rPr>
          <w:rFonts w:eastAsia="Times New Roman"/>
        </w:rPr>
        <w:t xml:space="preserve"> </w:t>
      </w:r>
    </w:p>
    <w:p>
      <w:pPr>
        <w:pStyle w:val="Normal"/>
        <w:rPr>
          <w:rFonts w:ascii="Arial" w:hAnsi="Arial" w:cs="Arial"/>
          <w:color w:val="000000"/>
          <w:sz w:val="20"/>
          <w:szCs w:val="20"/>
        </w:rPr>
      </w:pPr>
      <w:r>
        <w:rPr/>
        <w:drawing>
          <wp:inline distT="0" distB="0" distL="0" distR="0">
            <wp:extent cx="5172075" cy="6553200"/>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2"/>
                    <a:srcRect l="-9" t="-7" r="-9" b="-7"/>
                    <a:stretch>
                      <a:fillRect/>
                    </a:stretch>
                  </pic:blipFill>
                  <pic:spPr bwMode="auto">
                    <a:xfrm>
                      <a:off x="0" y="0"/>
                      <a:ext cx="5172075" cy="6553200"/>
                    </a:xfrm>
                    <a:prstGeom prst="rect">
                      <a:avLst/>
                    </a:prstGeom>
                  </pic:spPr>
                </pic:pic>
              </a:graphicData>
            </a:graphic>
          </wp:inline>
        </w:drawing>
      </w:r>
      <w:r>
        <w:rPr>
          <w:rStyle w:val="Noselect"/>
          <w:rFonts w:eastAsia="Helvetica" w:cs="Helvetica" w:ascii="Helvetica" w:hAnsi="Helvetica"/>
          <w:sz w:val="44"/>
          <w:szCs w:val="44"/>
        </w:rPr>
        <w:t xml:space="preserve"> </w:t>
      </w:r>
    </w:p>
    <w:p>
      <w:pPr>
        <w:pStyle w:val="Normal"/>
        <w:rPr>
          <w:rFonts w:ascii="Arial" w:hAnsi="Arial" w:cs="Arial"/>
          <w:color w:val="000000"/>
          <w:sz w:val="20"/>
          <w:szCs w:val="20"/>
        </w:rPr>
      </w:pPr>
      <w:r>
        <w:rPr>
          <w:rFonts w:cs="Arial" w:ascii="Arial" w:hAnsi="Arial"/>
          <w:color w:val="000000"/>
          <w:sz w:val="20"/>
          <w:szCs w:val="20"/>
        </w:rPr>
      </w:r>
    </w:p>
    <w:sectPr>
      <w:type w:val="nextPage"/>
      <w:pgSz w:w="12240" w:h="15840"/>
      <w:pgMar w:left="1440"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Arial Unicode MS">
    <w:charset w:val="80"/>
    <w:family w:val="swiss"/>
    <w:pitch w:val="variable"/>
  </w:font>
  <w:font w:name="Helvetica">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Noselect">
    <w:name w:val="noselect"/>
    <w:basedOn w:val="DefaultParagraphFont"/>
    <w:qFormat/>
    <w:rPr/>
  </w:style>
  <w:style w:type="character" w:styleId="Clickablealignrightprinterpagebtnnoselect">
    <w:name w:val="clickable align-right printerpagebtn noselect"/>
    <w:basedOn w:val="DefaultParagraphFont"/>
    <w:qFormat/>
    <w:rPr/>
  </w:style>
  <w:style w:type="character" w:styleId="Soldorboughtby">
    <w:name w:val="soldorboughtby"/>
    <w:basedOn w:val="DefaultParagraphFont"/>
    <w:qFormat/>
    <w:rPr/>
  </w:style>
  <w:style w:type="character" w:styleId="Mbgl">
    <w:name w:val="mbg-l"/>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Moreactionbtnbtnbtnsbtnscndnoselect">
    <w:name w:val="moreactionbtn btn btn-s btn-scnd noselect"/>
    <w:basedOn w:val="DefaultParagraphFont"/>
    <w:qFormat/>
    <w:rPr/>
  </w:style>
  <w:style w:type="character" w:styleId="Ngbinding">
    <w:name w:val="ng-binding"/>
    <w:basedOn w:val="DefaultParagraphFont"/>
    <w:qFormat/>
    <w:rPr/>
  </w:style>
  <w:style w:type="character" w:styleId="Ngscope">
    <w:name w:val="ng-scope"/>
    <w:basedOn w:val="DefaultParagraphFont"/>
    <w:qFormat/>
    <w:rPr/>
  </w:style>
  <w:style w:type="character" w:styleId="Grey">
    <w:name w:val="grey"/>
    <w:basedOn w:val="DefaultParagraphFont"/>
    <w:qFormat/>
    <w:rPr/>
  </w:style>
  <w:style w:type="character" w:styleId="Alignrightiealignrightngbinding">
    <w:name w:val="align-right iealignright ng-binding"/>
    <w:basedOn w:val="DefaultParagraphFont"/>
    <w:qFormat/>
    <w:rPr/>
  </w:style>
  <w:style w:type="character" w:styleId="Green">
    <w:name w:val="green"/>
    <w:basedOn w:val="DefaultParagraphFont"/>
    <w:qFormat/>
    <w:rPr/>
  </w:style>
  <w:style w:type="character" w:styleId="Emphasis">
    <w:name w:val="Emphasis"/>
    <w:qFormat/>
    <w:rPr>
      <w:i/>
      <w:iCs/>
    </w:rPr>
  </w:style>
  <w:style w:type="character" w:styleId="Exlavailabilitycallnumber">
    <w:name w:val="exlavailabilitycallnumber"/>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oleObject" Target="embeddings/oleObject1.bin"/><Relationship Id="rId8" Type="http://schemas.openxmlformats.org/officeDocument/2006/relationships/image" Target="media/image6.wmf"/><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2018-07-02T10:52:00Z</dcterms:created>
  <dc:creator>USER</dc:creator>
  <dc:description/>
  <cp:keywords/>
  <dc:language>en-US</dc:language>
  <cp:lastModifiedBy>Ralph Coffman</cp:lastModifiedBy>
  <dcterms:modified xsi:type="dcterms:W3CDTF">2018-07-02T10:52:00Z</dcterms:modified>
  <cp:revision>2</cp:revision>
  <dc:subject/>
  <dc:title>DIS-Afr-Egy-Ushabti-Flinders Petri</dc:title>
</cp:coreProperties>
</file>