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C9" w:rsidRPr="0020174F" w:rsidRDefault="00C33FC9" w:rsidP="00935859">
      <w:pPr>
        <w:rPr>
          <w:rStyle w:val="Strong"/>
          <w:b w:val="0"/>
        </w:rPr>
      </w:pPr>
      <w:bookmarkStart w:id="0" w:name="_GoBack"/>
      <w:bookmarkEnd w:id="0"/>
      <w:r>
        <w:t>A</w:t>
      </w:r>
      <w:r w:rsidR="00935859">
        <w:t>1</w:t>
      </w:r>
      <w:r w:rsidR="00F312A1">
        <w:t>9</w:t>
      </w:r>
      <w:r w:rsidR="00935859">
        <w:t>3</w:t>
      </w:r>
      <w:r w:rsidR="0020174F">
        <w:t>-</w:t>
      </w:r>
      <w:r w:rsidR="00935859">
        <w:t>Afr-Egy-Amulet-</w:t>
      </w:r>
      <w:r w:rsidR="00F312A1">
        <w:t>Hathor</w:t>
      </w:r>
      <w:r w:rsidR="00935859">
        <w:t>-</w:t>
      </w:r>
      <w:r>
        <w:t>Late period, 525-334 BCE</w:t>
      </w:r>
      <w:r w:rsidR="00F50759">
        <w:rPr>
          <w:rStyle w:val="Strong"/>
        </w:rPr>
        <w:t>-</w:t>
      </w:r>
      <w:r w:rsidR="0020174F" w:rsidRPr="0020174F">
        <w:rPr>
          <w:rStyle w:val="Strong"/>
          <w:b w:val="0"/>
        </w:rPr>
        <w:t>Blue Faience</w:t>
      </w:r>
    </w:p>
    <w:p w:rsidR="00C33FC9" w:rsidRDefault="00705634" w:rsidP="00935859">
      <w:pPr>
        <w:rPr>
          <w:rStyle w:val="Strong"/>
        </w:rPr>
      </w:pPr>
      <w:r w:rsidRPr="00705634">
        <w:rPr>
          <w:noProof/>
        </w:rPr>
        <w:t xml:space="preserve">  </w:t>
      </w:r>
      <w:r w:rsidR="0094067A">
        <w:rPr>
          <w:noProof/>
        </w:rPr>
        <w:drawing>
          <wp:inline distT="0" distB="0" distL="0" distR="0" wp14:anchorId="36B7AFAA" wp14:editId="7A0CD9BC">
            <wp:extent cx="19812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8000"/>
                              </a14:imgEffect>
                              <a14:imgEffect>
                                <a14:colorTemperature colorTemp="5050"/>
                              </a14:imgEffect>
                              <a14:imgEffect>
                                <a14:brightnessContrast bright="4000"/>
                              </a14:imgEffect>
                            </a14:imgLayer>
                          </a14:imgProps>
                        </a:ext>
                      </a:extLst>
                    </a:blip>
                    <a:stretch>
                      <a:fillRect/>
                    </a:stretch>
                  </pic:blipFill>
                  <pic:spPr>
                    <a:xfrm>
                      <a:off x="0" y="0"/>
                      <a:ext cx="1981200" cy="4619625"/>
                    </a:xfrm>
                    <a:prstGeom prst="rect">
                      <a:avLst/>
                    </a:prstGeom>
                  </pic:spPr>
                </pic:pic>
              </a:graphicData>
            </a:graphic>
          </wp:inline>
        </w:drawing>
      </w:r>
      <w:r w:rsidR="0094067A" w:rsidRPr="0094067A">
        <w:rPr>
          <w:noProof/>
        </w:rPr>
        <w:t xml:space="preserve"> </w:t>
      </w:r>
      <w:r w:rsidR="0094067A">
        <w:rPr>
          <w:noProof/>
        </w:rPr>
        <w:drawing>
          <wp:inline distT="0" distB="0" distL="0" distR="0" wp14:anchorId="16D28CA0" wp14:editId="289088C0">
            <wp:extent cx="172402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93000"/>
                              </a14:imgEffect>
                              <a14:imgEffect>
                                <a14:saturation sat="96000"/>
                              </a14:imgEffect>
                              <a14:imgEffect>
                                <a14:brightnessContrast bright="6000"/>
                              </a14:imgEffect>
                            </a14:imgLayer>
                          </a14:imgProps>
                        </a:ext>
                      </a:extLst>
                    </a:blip>
                    <a:stretch>
                      <a:fillRect/>
                    </a:stretch>
                  </pic:blipFill>
                  <pic:spPr>
                    <a:xfrm>
                      <a:off x="0" y="0"/>
                      <a:ext cx="1724025" cy="4562475"/>
                    </a:xfrm>
                    <a:prstGeom prst="rect">
                      <a:avLst/>
                    </a:prstGeom>
                  </pic:spPr>
                </pic:pic>
              </a:graphicData>
            </a:graphic>
          </wp:inline>
        </w:drawing>
      </w:r>
    </w:p>
    <w:p w:rsidR="00935859" w:rsidRDefault="00935859" w:rsidP="00935859">
      <w:pPr>
        <w:rPr>
          <w:rStyle w:val="Strong"/>
        </w:rPr>
      </w:pPr>
      <w:r>
        <w:rPr>
          <w:rStyle w:val="Strong"/>
        </w:rPr>
        <w:t>Case No.: 2</w:t>
      </w:r>
    </w:p>
    <w:p w:rsidR="00935859" w:rsidRDefault="00935859" w:rsidP="00935859">
      <w:pPr>
        <w:rPr>
          <w:rStyle w:val="Strong"/>
        </w:rPr>
      </w:pPr>
      <w:r>
        <w:rPr>
          <w:rStyle w:val="Strong"/>
        </w:rPr>
        <w:t xml:space="preserve">Accession Number: </w:t>
      </w:r>
      <w:r w:rsidRPr="002E2EF8">
        <w:rPr>
          <w:rStyle w:val="Strong"/>
          <w:b w:val="0"/>
        </w:rPr>
        <w:t>A183</w:t>
      </w:r>
    </w:p>
    <w:p w:rsidR="002C6F31" w:rsidRDefault="00935859" w:rsidP="0020174F">
      <w:r>
        <w:rPr>
          <w:rStyle w:val="Strong"/>
        </w:rPr>
        <w:t>Formal L</w:t>
      </w:r>
      <w:r w:rsidR="00C4420B">
        <w:rPr>
          <w:rStyle w:val="Strong"/>
        </w:rPr>
        <w:t xml:space="preserve">abel: </w:t>
      </w:r>
      <w:r w:rsidR="00C4420B" w:rsidRPr="00C33FC9">
        <w:rPr>
          <w:rStyle w:val="Strong"/>
          <w:b w:val="0"/>
        </w:rPr>
        <w:t>Anubis Amule</w:t>
      </w:r>
      <w:r w:rsidR="0020174F">
        <w:rPr>
          <w:rStyle w:val="Strong"/>
          <w:b w:val="0"/>
        </w:rPr>
        <w:t xml:space="preserve">t </w:t>
      </w:r>
      <w:r w:rsidR="00C33FC9">
        <w:t>Late period, 525-334 BCE</w:t>
      </w:r>
      <w:r w:rsidR="0020174F">
        <w:t xml:space="preserve">, </w:t>
      </w:r>
      <w:r w:rsidR="00F50759">
        <w:t xml:space="preserve">Hieroglyphs, </w:t>
      </w:r>
      <w:r w:rsidR="0020174F" w:rsidRPr="00C33FC9">
        <w:rPr>
          <w:rStyle w:val="Strong"/>
          <w:b w:val="0"/>
        </w:rPr>
        <w:t>Faience,</w:t>
      </w:r>
    </w:p>
    <w:p w:rsidR="00E15551" w:rsidRDefault="00935859" w:rsidP="002E2EF8">
      <w:pPr>
        <w:rPr>
          <w:rStyle w:val="st"/>
        </w:rPr>
      </w:pPr>
      <w:r>
        <w:rPr>
          <w:b/>
        </w:rPr>
        <w:t>Display Description</w:t>
      </w:r>
      <w:r>
        <w:rPr>
          <w:rStyle w:val="Strong"/>
        </w:rPr>
        <w:t xml:space="preserve">: </w:t>
      </w:r>
      <w:r>
        <w:t xml:space="preserve">This </w:t>
      </w:r>
      <w:r w:rsidR="002E2EF8">
        <w:t xml:space="preserve">blue </w:t>
      </w:r>
      <w:r>
        <w:t xml:space="preserve">faience amulet represents </w:t>
      </w:r>
      <w:r w:rsidR="00E15551" w:rsidRPr="00E15551">
        <w:rPr>
          <w:bCs/>
        </w:rPr>
        <w:t>Hatho</w:t>
      </w:r>
      <w:r w:rsidR="00E15551">
        <w:rPr>
          <w:b/>
          <w:bCs/>
        </w:rPr>
        <w:t>r</w:t>
      </w:r>
      <w:r w:rsidR="00E15551">
        <w:t xml:space="preserve"> (</w:t>
      </w:r>
      <w:proofErr w:type="spellStart"/>
      <w:r w:rsidR="00E15551">
        <w:rPr>
          <w:i/>
          <w:iCs/>
        </w:rPr>
        <w:fldChar w:fldCharType="begin"/>
      </w:r>
      <w:r w:rsidR="00E15551">
        <w:rPr>
          <w:i/>
          <w:iCs/>
        </w:rPr>
        <w:instrText xml:space="preserve"> HYPERLINK "https://en.wiktionary.org/wiki/%E1%B8%A5wt-%E1%B8%A5r" \o "wikt:ḥwt-ḥr" </w:instrText>
      </w:r>
      <w:r w:rsidR="00E15551">
        <w:rPr>
          <w:i/>
          <w:iCs/>
        </w:rPr>
        <w:fldChar w:fldCharType="separate"/>
      </w:r>
      <w:r w:rsidR="00E15551">
        <w:rPr>
          <w:rStyle w:val="Hyperlink"/>
          <w:i/>
          <w:iCs/>
        </w:rPr>
        <w:t>ḥwt-ḥr</w:t>
      </w:r>
      <w:proofErr w:type="spellEnd"/>
      <w:r w:rsidR="00E15551">
        <w:rPr>
          <w:i/>
          <w:iCs/>
        </w:rPr>
        <w:fldChar w:fldCharType="end"/>
      </w:r>
      <w:r w:rsidR="00E15551">
        <w:rPr>
          <w:i/>
          <w:iCs/>
        </w:rPr>
        <w:t xml:space="preserve"> “mansion of </w:t>
      </w:r>
      <w:proofErr w:type="spellStart"/>
      <w:r w:rsidR="00E15551">
        <w:rPr>
          <w:i/>
          <w:iCs/>
        </w:rPr>
        <w:t>hathor</w:t>
      </w:r>
      <w:proofErr w:type="spellEnd"/>
      <w:proofErr w:type="gramStart"/>
      <w:r w:rsidR="00E15551">
        <w:rPr>
          <w:i/>
          <w:iCs/>
        </w:rPr>
        <w:t>”:</w:t>
      </w:r>
      <w:proofErr w:type="gramEnd"/>
      <w:r w:rsidR="00E15551">
        <w:rPr>
          <w:i/>
          <w:iCs/>
        </w:rPr>
        <w:t xml:space="preserve"> </w:t>
      </w:r>
      <w:r w:rsidR="00E15551" w:rsidRPr="00E15551">
        <w:rPr>
          <w:noProof/>
        </w:rPr>
        <w:drawing>
          <wp:inline distT="0" distB="0" distL="0" distR="0" wp14:anchorId="33AADAA2" wp14:editId="3C923B04">
            <wp:extent cx="266700" cy="16535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47" cy="171894"/>
                    </a:xfrm>
                    <a:prstGeom prst="rect">
                      <a:avLst/>
                    </a:prstGeom>
                  </pic:spPr>
                </pic:pic>
              </a:graphicData>
            </a:graphic>
          </wp:inline>
        </w:drawing>
      </w:r>
      <w:r w:rsidR="00E15551" w:rsidRPr="00E15551">
        <w:rPr>
          <w:iCs/>
        </w:rPr>
        <w:t>)</w:t>
      </w:r>
      <w:r w:rsidR="00E15551">
        <w:rPr>
          <w:iCs/>
        </w:rPr>
        <w:t xml:space="preserve"> who</w:t>
      </w:r>
      <w:r w:rsidR="00E15551">
        <w:t xml:space="preserve"> represents feminine love and motherhood as she was a cow goddess and provider of milk for children and through her knowledge of parturition she was of assistance in childbirth. She is often depicted as “Mistress of the West,” who welcomed the dead into the next life and so was an appropriate subject for an amulet for the grave. As </w:t>
      </w:r>
      <w:r w:rsidR="0094067A">
        <w:t>the cow goddess</w:t>
      </w:r>
      <w:r w:rsidR="0094067A">
        <w:rPr>
          <w:rStyle w:val="st"/>
        </w:rPr>
        <w:t xml:space="preserve"> </w:t>
      </w:r>
      <w:r w:rsidR="002852ED">
        <w:t>in her</w:t>
      </w:r>
      <w:r w:rsidR="002E715D">
        <w:t xml:space="preserve"> anthropomorphic form</w:t>
      </w:r>
      <w:r w:rsidR="002852ED">
        <w:t xml:space="preserve"> </w:t>
      </w:r>
      <w:r w:rsidR="00E15551">
        <w:t xml:space="preserve">she is depicted </w:t>
      </w:r>
      <w:r w:rsidR="002852ED">
        <w:t xml:space="preserve">with a sun disk between her two horns sprouting from </w:t>
      </w:r>
      <w:r w:rsidR="00E15551">
        <w:t>her</w:t>
      </w:r>
      <w:r w:rsidR="002852ED">
        <w:t xml:space="preserve"> head</w:t>
      </w:r>
      <w:r>
        <w:rPr>
          <w:rStyle w:val="st"/>
        </w:rPr>
        <w:t xml:space="preserve">. </w:t>
      </w:r>
    </w:p>
    <w:p w:rsidR="00F50759" w:rsidRDefault="002852ED" w:rsidP="00E15551">
      <w:pPr>
        <w:ind w:firstLine="720"/>
        <w:rPr>
          <w:rStyle w:val="st"/>
        </w:rPr>
      </w:pPr>
      <w:r>
        <w:rPr>
          <w:rStyle w:val="st"/>
        </w:rPr>
        <w:t>The Ushabti</w:t>
      </w:r>
      <w:r w:rsidR="002E2EF8">
        <w:rPr>
          <w:rStyle w:val="st"/>
        </w:rPr>
        <w:t xml:space="preserve"> has </w:t>
      </w:r>
      <w:r>
        <w:rPr>
          <w:rStyle w:val="st"/>
        </w:rPr>
        <w:t>a plain lappet wig terminating in a single band. He carries two whips in his opposed hands without sleeves of an overseer.</w:t>
      </w:r>
      <w:r w:rsidR="002E2EF8">
        <w:rPr>
          <w:rStyle w:val="st"/>
        </w:rPr>
        <w:t xml:space="preserve"> </w:t>
      </w:r>
    </w:p>
    <w:p w:rsidR="00935859" w:rsidRDefault="00935859" w:rsidP="00935859">
      <w:r>
        <w:rPr>
          <w:rStyle w:val="Strong"/>
        </w:rPr>
        <w:t>Date or Time Horizon:</w:t>
      </w:r>
      <w:r>
        <w:t xml:space="preserve"> Late period, 525-334 BCE.</w:t>
      </w:r>
    </w:p>
    <w:p w:rsidR="00935859" w:rsidRDefault="00935859" w:rsidP="00935859">
      <w:pPr>
        <w:rPr>
          <w:rStyle w:val="Strong"/>
        </w:rPr>
      </w:pPr>
      <w:r>
        <w:rPr>
          <w:rStyle w:val="Strong"/>
        </w:rPr>
        <w:t xml:space="preserve">Geographical Area: </w:t>
      </w:r>
      <w:proofErr w:type="spellStart"/>
      <w:r w:rsidR="002852ED">
        <w:rPr>
          <w:rStyle w:val="Strong"/>
          <w:b w:val="0"/>
        </w:rPr>
        <w:t>Dendera</w:t>
      </w:r>
      <w:proofErr w:type="spellEnd"/>
      <w:r w:rsidR="004E3555" w:rsidRPr="00705634">
        <w:rPr>
          <w:rStyle w:val="Strong"/>
          <w:b w:val="0"/>
        </w:rPr>
        <w:t>, Egypt</w:t>
      </w:r>
    </w:p>
    <w:p w:rsidR="00935859" w:rsidRDefault="00935859" w:rsidP="00935859">
      <w:pPr>
        <w:rPr>
          <w:rStyle w:val="Hyperlink"/>
        </w:rPr>
      </w:pPr>
      <w:r>
        <w:rPr>
          <w:rStyle w:val="Strong"/>
        </w:rPr>
        <w:t>Map, GPS Coordinates:</w:t>
      </w:r>
      <w:r>
        <w:t xml:space="preserve"> </w:t>
      </w:r>
      <w:r w:rsidR="002852ED" w:rsidRPr="002852ED">
        <w:t>26.14207 32.67034</w:t>
      </w:r>
      <w:r w:rsidR="002852ED">
        <w:t xml:space="preserve">; </w:t>
      </w:r>
      <w:r w:rsidR="002852ED" w:rsidRPr="002852ED">
        <w:t>26º08'31.46" N 32º40'13.23" E</w:t>
      </w:r>
    </w:p>
    <w:p w:rsidR="00705634" w:rsidRDefault="002852ED" w:rsidP="00935859">
      <w:r>
        <w:rPr>
          <w:noProof/>
        </w:rPr>
        <w:lastRenderedPageBreak/>
        <w:drawing>
          <wp:inline distT="0" distB="0" distL="0" distR="0" wp14:anchorId="5EDECD65" wp14:editId="5E8C4BC4">
            <wp:extent cx="533400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3400425"/>
                    </a:xfrm>
                    <a:prstGeom prst="rect">
                      <a:avLst/>
                    </a:prstGeom>
                  </pic:spPr>
                </pic:pic>
              </a:graphicData>
            </a:graphic>
          </wp:inline>
        </w:drawing>
      </w:r>
    </w:p>
    <w:p w:rsidR="004E3555" w:rsidRDefault="00935859" w:rsidP="004E3555">
      <w:r>
        <w:rPr>
          <w:rStyle w:val="Strong"/>
        </w:rPr>
        <w:t>Cultural Affiliation:</w:t>
      </w:r>
      <w:r>
        <w:t xml:space="preserve"> </w:t>
      </w:r>
      <w:r w:rsidR="004E3555">
        <w:t>Late Period, Egypt, 525-334 BCE.</w:t>
      </w:r>
    </w:p>
    <w:p w:rsidR="00935859" w:rsidRPr="002E2EF8" w:rsidRDefault="004E3555" w:rsidP="00935859">
      <w:pPr>
        <w:rPr>
          <w:b/>
          <w:bCs/>
        </w:rPr>
      </w:pPr>
      <w:r>
        <w:rPr>
          <w:rStyle w:val="Strong"/>
        </w:rPr>
        <w:t>Geographical Area:</w:t>
      </w:r>
      <w:r w:rsidR="002E2EF8">
        <w:rPr>
          <w:rStyle w:val="Strong"/>
        </w:rPr>
        <w:t xml:space="preserve"> </w:t>
      </w:r>
      <w:r w:rsidR="002852ED">
        <w:rPr>
          <w:rStyle w:val="Strong"/>
          <w:b w:val="0"/>
        </w:rPr>
        <w:t xml:space="preserve">Temple of the Goddess Hathor, </w:t>
      </w:r>
      <w:proofErr w:type="spellStart"/>
      <w:r w:rsidR="002852ED">
        <w:rPr>
          <w:rStyle w:val="Strong"/>
          <w:b w:val="0"/>
        </w:rPr>
        <w:t>Dendera</w:t>
      </w:r>
      <w:proofErr w:type="spellEnd"/>
      <w:r w:rsidRPr="002E2EF8">
        <w:rPr>
          <w:rStyle w:val="Strong"/>
          <w:b w:val="0"/>
        </w:rPr>
        <w:t>, Egypt</w:t>
      </w:r>
    </w:p>
    <w:p w:rsidR="00935859" w:rsidRDefault="00935859" w:rsidP="00935859">
      <w:r>
        <w:rPr>
          <w:rStyle w:val="Strong"/>
        </w:rPr>
        <w:t>Medium:</w:t>
      </w:r>
      <w:r>
        <w:t xml:space="preserve"> Faience</w:t>
      </w:r>
    </w:p>
    <w:p w:rsidR="00935859" w:rsidRDefault="00935859" w:rsidP="00935859">
      <w:pPr>
        <w:rPr>
          <w:rStyle w:val="Strong"/>
        </w:rPr>
      </w:pPr>
      <w:r>
        <w:rPr>
          <w:rStyle w:val="Strong"/>
        </w:rPr>
        <w:t xml:space="preserve">Dimensions: </w:t>
      </w:r>
      <w:r w:rsidRPr="002E2EF8">
        <w:rPr>
          <w:rStyle w:val="Strong"/>
          <w:b w:val="0"/>
        </w:rPr>
        <w:t xml:space="preserve">H </w:t>
      </w:r>
      <w:r w:rsidR="00F01D0F">
        <w:rPr>
          <w:rStyle w:val="Strong"/>
          <w:b w:val="0"/>
        </w:rPr>
        <w:t>156.71</w:t>
      </w:r>
      <w:r w:rsidRPr="002E2EF8">
        <w:rPr>
          <w:rStyle w:val="Strong"/>
          <w:b w:val="0"/>
        </w:rPr>
        <w:t xml:space="preserve"> mm, </w:t>
      </w:r>
      <w:r w:rsidR="00F01D0F">
        <w:rPr>
          <w:rStyle w:val="Strong"/>
          <w:b w:val="0"/>
        </w:rPr>
        <w:t>6.17</w:t>
      </w:r>
      <w:r w:rsidRPr="002E2EF8">
        <w:rPr>
          <w:rStyle w:val="Strong"/>
          <w:b w:val="0"/>
        </w:rPr>
        <w:t xml:space="preserve"> in</w:t>
      </w:r>
      <w:r>
        <w:rPr>
          <w:rFonts w:ascii="Open Sans" w:hAnsi="Open Sans"/>
          <w:b/>
          <w:bCs/>
          <w:color w:val="646673"/>
          <w:sz w:val="72"/>
          <w:szCs w:val="72"/>
          <w:shd w:val="clear" w:color="auto" w:fill="FFFFFF"/>
        </w:rPr>
        <w:br/>
      </w:r>
      <w:r>
        <w:rPr>
          <w:rStyle w:val="Strong"/>
        </w:rPr>
        <w:t xml:space="preserve">Weight: </w:t>
      </w:r>
      <w:r w:rsidR="00F01D0F">
        <w:rPr>
          <w:rStyle w:val="Strong"/>
        </w:rPr>
        <w:t>127</w:t>
      </w:r>
      <w:r w:rsidR="002E2EF8">
        <w:rPr>
          <w:rStyle w:val="Strong"/>
        </w:rPr>
        <w:t xml:space="preserve"> gm; </w:t>
      </w:r>
      <w:r w:rsidR="00F01D0F">
        <w:rPr>
          <w:rStyle w:val="Strong"/>
        </w:rPr>
        <w:t>4 3/8</w:t>
      </w:r>
      <w:r w:rsidR="002E2EF8">
        <w:rPr>
          <w:rStyle w:val="Strong"/>
        </w:rPr>
        <w:t xml:space="preserve"> oz.</w:t>
      </w:r>
    </w:p>
    <w:p w:rsidR="00935859" w:rsidRDefault="00935859" w:rsidP="00935859">
      <w:r>
        <w:rPr>
          <w:rStyle w:val="Strong"/>
        </w:rPr>
        <w:t>Provenance: old European collection</w:t>
      </w:r>
    </w:p>
    <w:p w:rsidR="00935859" w:rsidRPr="004043CB" w:rsidRDefault="00935859" w:rsidP="00935859">
      <w:pPr>
        <w:rPr>
          <w:b/>
        </w:rPr>
      </w:pPr>
      <w:r w:rsidRPr="004043CB">
        <w:rPr>
          <w:b/>
        </w:rPr>
        <w:t>Condition</w:t>
      </w:r>
      <w:r>
        <w:rPr>
          <w:b/>
        </w:rPr>
        <w:t>: original</w:t>
      </w:r>
    </w:p>
    <w:p w:rsidR="00E15551" w:rsidRDefault="00935859" w:rsidP="00E15551">
      <w:pPr>
        <w:rPr>
          <w:b/>
        </w:rPr>
      </w:pPr>
      <w:r w:rsidRPr="004043CB">
        <w:rPr>
          <w:b/>
        </w:rPr>
        <w:t>Discussion</w:t>
      </w:r>
      <w:r>
        <w:rPr>
          <w:b/>
        </w:rPr>
        <w:t>:</w:t>
      </w:r>
      <w:r w:rsidR="00E15551">
        <w:rPr>
          <w:b/>
        </w:rPr>
        <w:t xml:space="preserve"> </w:t>
      </w:r>
    </w:p>
    <w:p w:rsidR="00E15551" w:rsidRPr="002E2EF8" w:rsidRDefault="00E15551" w:rsidP="00E15551">
      <w:pPr>
        <w:ind w:firstLine="720"/>
        <w:rPr>
          <w:b/>
          <w:bCs/>
        </w:rPr>
      </w:pPr>
      <w:r>
        <w:rPr>
          <w:rStyle w:val="st"/>
        </w:rPr>
        <w:t xml:space="preserve">This amulet is possibly from the chief repository for knowledge of the rituals and festivals of </w:t>
      </w:r>
      <w:r w:rsidRPr="002852ED">
        <w:rPr>
          <w:rStyle w:val="Emphasis"/>
          <w:i w:val="0"/>
        </w:rPr>
        <w:t>Hathor in the Late period</w:t>
      </w:r>
      <w:r>
        <w:rPr>
          <w:rStyle w:val="st"/>
        </w:rPr>
        <w:t xml:space="preserve"> is her huge and well-preserved temple at </w:t>
      </w:r>
      <w:proofErr w:type="spellStart"/>
      <w:r>
        <w:rPr>
          <w:rStyle w:val="st"/>
        </w:rPr>
        <w:t>Dendera</w:t>
      </w:r>
      <w:proofErr w:type="spellEnd"/>
      <w:r>
        <w:rPr>
          <w:rStyle w:val="st"/>
        </w:rPr>
        <w:t>. </w:t>
      </w:r>
      <w:r>
        <w:t xml:space="preserve"> Amulets are believed to confer some advantage to the wearer. Perhaps by having this Hathor amulet buried with the deceased some advantage welcoming the deceased to the life Hereafter would have accrued to the owner.                                                                                                                                                                                                                                                                                                                                                                                                                                                                                                                                                                                                                                                                                                                                                                                                                                                                                                                                                           </w:t>
      </w:r>
    </w:p>
    <w:p w:rsidR="00935859" w:rsidRDefault="00935859" w:rsidP="00935859">
      <w:pPr>
        <w:rPr>
          <w:b/>
        </w:rPr>
      </w:pPr>
    </w:p>
    <w:p w:rsidR="00935859" w:rsidRDefault="00935859" w:rsidP="00935859">
      <w:pPr>
        <w:rPr>
          <w:b/>
        </w:rPr>
      </w:pPr>
      <w:r w:rsidRPr="00050BD4">
        <w:rPr>
          <w:b/>
        </w:rPr>
        <w:t>References</w:t>
      </w:r>
      <w:r>
        <w:rPr>
          <w:b/>
        </w:rPr>
        <w:t>:</w:t>
      </w:r>
    </w:p>
    <w:p w:rsidR="00935859" w:rsidRDefault="00320291" w:rsidP="00935859">
      <w:r>
        <w:t xml:space="preserve">Andrews, Carol. 1994. </w:t>
      </w:r>
      <w:r>
        <w:rPr>
          <w:i/>
          <w:iCs/>
        </w:rPr>
        <w:t>Amulets of Ancient Egypt</w:t>
      </w:r>
      <w:r>
        <w:t>. Austin: University of Texas Press.</w:t>
      </w:r>
      <w:r>
        <w:br/>
        <w:t xml:space="preserve"> </w:t>
      </w:r>
    </w:p>
    <w:p w:rsidR="00935859" w:rsidRDefault="00935859" w:rsidP="00935859">
      <w:pPr>
        <w:rPr>
          <w:b/>
        </w:rPr>
      </w:pPr>
      <w:r>
        <w:t xml:space="preserve">Coulson, William D. E. and Albert Leonard. 1996. </w:t>
      </w:r>
      <w:r w:rsidRPr="00935859">
        <w:rPr>
          <w:i/>
        </w:rPr>
        <w:t xml:space="preserve">Cities of the Delta Pt.1, </w:t>
      </w:r>
      <w:proofErr w:type="spellStart"/>
      <w:r w:rsidRPr="00935859">
        <w:rPr>
          <w:i/>
        </w:rPr>
        <w:t>Naukratis</w:t>
      </w:r>
      <w:proofErr w:type="spellEnd"/>
      <w:r w:rsidRPr="00935859">
        <w:rPr>
          <w:i/>
        </w:rPr>
        <w:t>. preliminary report on the 1977-78 and 1980 seasons.</w:t>
      </w:r>
      <w:r>
        <w:t xml:space="preserve"> Malibu.</w:t>
      </w:r>
    </w:p>
    <w:p w:rsidR="00935859" w:rsidRDefault="00935859" w:rsidP="00935859"/>
    <w:p w:rsidR="00320291" w:rsidRPr="00320291" w:rsidRDefault="00935859" w:rsidP="00320291">
      <w:r w:rsidRPr="00935859">
        <w:rPr>
          <w:rFonts w:hint="eastAsia"/>
        </w:rPr>
        <w:t>Janes, Glenn. 2002</w:t>
      </w:r>
      <w:r w:rsidR="008E5EF1">
        <w:rPr>
          <w:rFonts w:hint="eastAsia"/>
          <w:i/>
        </w:rPr>
        <w:t xml:space="preserve">. </w:t>
      </w:r>
      <w:proofErr w:type="spellStart"/>
      <w:r w:rsidR="008E5EF1">
        <w:rPr>
          <w:rFonts w:hint="eastAsia"/>
          <w:i/>
        </w:rPr>
        <w:t>Shabtis</w:t>
      </w:r>
      <w:proofErr w:type="spellEnd"/>
      <w:r w:rsidR="008E5EF1">
        <w:rPr>
          <w:rFonts w:hint="eastAsia"/>
          <w:i/>
        </w:rPr>
        <w:t>, a private view</w:t>
      </w:r>
      <w:r w:rsidRPr="00935859">
        <w:rPr>
          <w:rFonts w:hint="eastAsia"/>
          <w:i/>
        </w:rPr>
        <w:t>: ancient Egyptian funerary statuettes in European private collections</w:t>
      </w:r>
      <w:r w:rsidRPr="00935859">
        <w:rPr>
          <w:rFonts w:hint="eastAsia"/>
        </w:rPr>
        <w:t xml:space="preserve">; photography Tom </w:t>
      </w:r>
      <w:proofErr w:type="spellStart"/>
      <w:r w:rsidRPr="00935859">
        <w:rPr>
          <w:rFonts w:hint="eastAsia"/>
        </w:rPr>
        <w:t>Bangbala</w:t>
      </w:r>
      <w:proofErr w:type="spellEnd"/>
      <w:r w:rsidRPr="00935859">
        <w:rPr>
          <w:rFonts w:hint="eastAsia"/>
        </w:rPr>
        <w:t xml:space="preserve">. </w:t>
      </w:r>
      <w:proofErr w:type="gramStart"/>
      <w:r w:rsidRPr="00935859">
        <w:rPr>
          <w:rFonts w:hint="eastAsia"/>
        </w:rPr>
        <w:t>Paris :</w:t>
      </w:r>
      <w:proofErr w:type="gramEnd"/>
      <w:r w:rsidRPr="00935859">
        <w:rPr>
          <w:rFonts w:hint="eastAsia"/>
        </w:rPr>
        <w:t xml:space="preserve"> </w:t>
      </w:r>
      <w:proofErr w:type="spellStart"/>
      <w:r w:rsidRPr="00320291">
        <w:rPr>
          <w:rFonts w:hint="eastAsia"/>
        </w:rPr>
        <w:t>Cybèle</w:t>
      </w:r>
      <w:proofErr w:type="spellEnd"/>
      <w:r w:rsidRPr="00320291">
        <w:rPr>
          <w:rFonts w:hint="eastAsia"/>
        </w:rPr>
        <w:t>.</w:t>
      </w:r>
    </w:p>
    <w:p w:rsidR="00320291" w:rsidRPr="00935859" w:rsidRDefault="00320291" w:rsidP="00935859"/>
    <w:p w:rsidR="00935859" w:rsidRPr="00935859" w:rsidRDefault="00320291" w:rsidP="00935859">
      <w:r>
        <w:t xml:space="preserve">Petrie, W.M. Flinders. </w:t>
      </w:r>
      <w:r w:rsidR="00935859">
        <w:t>1914</w:t>
      </w:r>
      <w:r>
        <w:t>.</w:t>
      </w:r>
      <w:r w:rsidR="00935859">
        <w:t xml:space="preserve"> </w:t>
      </w:r>
      <w:r w:rsidR="00935859">
        <w:rPr>
          <w:i/>
          <w:iCs/>
        </w:rPr>
        <w:t>Amulets</w:t>
      </w:r>
      <w:r w:rsidR="00935859">
        <w:t>. London: Constable &amp; Company.</w:t>
      </w:r>
    </w:p>
    <w:p w:rsidR="00935859" w:rsidRPr="00935859" w:rsidRDefault="00935859" w:rsidP="00935859">
      <w:pPr>
        <w:rPr>
          <w:rFonts w:eastAsia="Times New Roman"/>
        </w:rPr>
      </w:pPr>
    </w:p>
    <w:p w:rsidR="00935859" w:rsidRPr="00935859" w:rsidRDefault="00935859" w:rsidP="00935859">
      <w:r w:rsidRPr="00935859">
        <w:t>Petrie,</w:t>
      </w:r>
      <w:r>
        <w:t xml:space="preserve"> </w:t>
      </w:r>
      <w:r w:rsidRPr="00935859">
        <w:t>W.</w:t>
      </w:r>
      <w:r>
        <w:t xml:space="preserve"> </w:t>
      </w:r>
      <w:r w:rsidRPr="00935859">
        <w:t>M.</w:t>
      </w:r>
      <w:r>
        <w:t xml:space="preserve"> </w:t>
      </w:r>
      <w:r w:rsidRPr="00935859">
        <w:t>Flinders.</w:t>
      </w:r>
      <w:r>
        <w:t xml:space="preserve"> 1935. </w:t>
      </w:r>
      <w:proofErr w:type="spellStart"/>
      <w:r w:rsidRPr="00935859">
        <w:rPr>
          <w:i/>
        </w:rPr>
        <w:t>Shabtis</w:t>
      </w:r>
      <w:proofErr w:type="spellEnd"/>
      <w:r w:rsidRPr="00935859">
        <w:rPr>
          <w:i/>
        </w:rPr>
        <w:t>. Illustrated by the Egyptian collection in University College, London.</w:t>
      </w:r>
      <w:r w:rsidRPr="00935859">
        <w:t xml:space="preserve"> </w:t>
      </w:r>
      <w:r>
        <w:t>London: University College.</w:t>
      </w:r>
    </w:p>
    <w:p w:rsidR="00320291" w:rsidRDefault="00320291" w:rsidP="00320291">
      <w:pPr>
        <w:sectPr w:rsidR="00320291" w:rsidSect="00215513">
          <w:pgSz w:w="12240" w:h="15840"/>
          <w:pgMar w:top="720" w:right="720" w:bottom="720" w:left="1440" w:header="720" w:footer="720" w:gutter="0"/>
          <w:cols w:space="720"/>
          <w:docGrid w:linePitch="360"/>
        </w:sectPr>
      </w:pPr>
    </w:p>
    <w:tbl>
      <w:tblPr>
        <w:tblW w:w="5000" w:type="pct"/>
        <w:tblCellSpacing w:w="12" w:type="dxa"/>
        <w:tblCellMar>
          <w:top w:w="15" w:type="dxa"/>
          <w:left w:w="15" w:type="dxa"/>
          <w:bottom w:w="15" w:type="dxa"/>
          <w:right w:w="15" w:type="dxa"/>
        </w:tblCellMar>
        <w:tblLook w:val="04A0" w:firstRow="1" w:lastRow="0" w:firstColumn="1" w:lastColumn="0" w:noHBand="0" w:noVBand="1"/>
      </w:tblPr>
      <w:tblGrid>
        <w:gridCol w:w="10080"/>
      </w:tblGrid>
      <w:tr w:rsidR="00935859" w:rsidRPr="00320291" w:rsidTr="002C6F31">
        <w:trPr>
          <w:tblCellSpacing w:w="12" w:type="dxa"/>
        </w:trPr>
        <w:tc>
          <w:tcPr>
            <w:tcW w:w="0" w:type="auto"/>
            <w:vAlign w:val="center"/>
            <w:hideMark/>
          </w:tcPr>
          <w:p w:rsidR="00935859" w:rsidRDefault="00935859" w:rsidP="00320291"/>
          <w:p w:rsidR="0020174F" w:rsidRPr="00320291" w:rsidRDefault="0020174F" w:rsidP="00320291">
            <w:r w:rsidRPr="00103D6F">
              <w:t xml:space="preserve">Schneider, Hans D. 1977. </w:t>
            </w:r>
            <w:proofErr w:type="spellStart"/>
            <w:r w:rsidRPr="001C3247">
              <w:rPr>
                <w:i/>
              </w:rPr>
              <w:t>Shabtis</w:t>
            </w:r>
            <w:proofErr w:type="spellEnd"/>
            <w:r w:rsidRPr="001C3247">
              <w:rPr>
                <w:i/>
              </w:rPr>
              <w:t xml:space="preserve"> - An Introduction to the History of Ancient Egyptian Funerary Statuettes. With a Catalogue of the Collection of </w:t>
            </w:r>
            <w:proofErr w:type="spellStart"/>
            <w:r w:rsidRPr="001C3247">
              <w:rPr>
                <w:i/>
              </w:rPr>
              <w:t>Shabtis</w:t>
            </w:r>
            <w:proofErr w:type="spellEnd"/>
            <w:r w:rsidRPr="001C3247">
              <w:rPr>
                <w:i/>
              </w:rPr>
              <w:t xml:space="preserve"> in the National Museum of Leiden</w:t>
            </w:r>
            <w:r w:rsidRPr="00103D6F">
              <w:t xml:space="preserve">. 3 volumes. Leiden: Rijksmuseum van </w:t>
            </w:r>
            <w:proofErr w:type="spellStart"/>
            <w:r w:rsidRPr="00103D6F">
              <w:t>Oudheden</w:t>
            </w:r>
            <w:proofErr w:type="spellEnd"/>
            <w:r w:rsidRPr="00103D6F">
              <w:t xml:space="preserve"> </w:t>
            </w:r>
            <w:proofErr w:type="spellStart"/>
            <w:r w:rsidRPr="00103D6F">
              <w:t>Te</w:t>
            </w:r>
            <w:proofErr w:type="spellEnd"/>
            <w:r w:rsidRPr="00103D6F">
              <w:t xml:space="preserve"> Leiden.</w:t>
            </w:r>
          </w:p>
          <w:p w:rsidR="00935859" w:rsidRPr="00320291" w:rsidRDefault="00935859" w:rsidP="00320291"/>
          <w:p w:rsidR="00935859" w:rsidRPr="00320291" w:rsidRDefault="00935859" w:rsidP="00320291"/>
          <w:p w:rsidR="00935859" w:rsidRPr="00320291" w:rsidRDefault="00935859" w:rsidP="00320291"/>
        </w:tc>
      </w:tr>
    </w:tbl>
    <w:p w:rsidR="00935859" w:rsidRPr="00935859" w:rsidRDefault="00935859" w:rsidP="00935859"/>
    <w:sectPr w:rsidR="00935859" w:rsidRPr="00935859" w:rsidSect="00320291">
      <w:type w:val="continuous"/>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08E"/>
    <w:multiLevelType w:val="multilevel"/>
    <w:tmpl w:val="6FC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C3218"/>
    <w:multiLevelType w:val="multilevel"/>
    <w:tmpl w:val="17CC2F9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20"/>
    <w:rsid w:val="00001276"/>
    <w:rsid w:val="0000162B"/>
    <w:rsid w:val="00001C7F"/>
    <w:rsid w:val="00002035"/>
    <w:rsid w:val="000027FF"/>
    <w:rsid w:val="000037A2"/>
    <w:rsid w:val="00003BD7"/>
    <w:rsid w:val="000056BD"/>
    <w:rsid w:val="00005C00"/>
    <w:rsid w:val="000069FC"/>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A72"/>
    <w:rsid w:val="00194D03"/>
    <w:rsid w:val="00194F6C"/>
    <w:rsid w:val="001958B4"/>
    <w:rsid w:val="001A2628"/>
    <w:rsid w:val="001A5D79"/>
    <w:rsid w:val="001A5F6F"/>
    <w:rsid w:val="001B06A6"/>
    <w:rsid w:val="001B411B"/>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FE1"/>
    <w:rsid w:val="001F3209"/>
    <w:rsid w:val="001F347F"/>
    <w:rsid w:val="001F4C3E"/>
    <w:rsid w:val="00201360"/>
    <w:rsid w:val="0020174F"/>
    <w:rsid w:val="00201C28"/>
    <w:rsid w:val="0020240D"/>
    <w:rsid w:val="00204C01"/>
    <w:rsid w:val="002051B0"/>
    <w:rsid w:val="0020596E"/>
    <w:rsid w:val="00205F1A"/>
    <w:rsid w:val="00210575"/>
    <w:rsid w:val="00211528"/>
    <w:rsid w:val="00211E62"/>
    <w:rsid w:val="00212489"/>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52ED"/>
    <w:rsid w:val="00286E13"/>
    <w:rsid w:val="00287734"/>
    <w:rsid w:val="00291284"/>
    <w:rsid w:val="00291626"/>
    <w:rsid w:val="00295D9D"/>
    <w:rsid w:val="00296640"/>
    <w:rsid w:val="002A0F6C"/>
    <w:rsid w:val="002A16EA"/>
    <w:rsid w:val="002A1CC2"/>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6F31"/>
    <w:rsid w:val="002D09F6"/>
    <w:rsid w:val="002D2373"/>
    <w:rsid w:val="002D29B3"/>
    <w:rsid w:val="002D3A6D"/>
    <w:rsid w:val="002D4157"/>
    <w:rsid w:val="002D4B1F"/>
    <w:rsid w:val="002D5542"/>
    <w:rsid w:val="002D5F9A"/>
    <w:rsid w:val="002E076F"/>
    <w:rsid w:val="002E0CD8"/>
    <w:rsid w:val="002E2EF8"/>
    <w:rsid w:val="002E2F00"/>
    <w:rsid w:val="002E45DB"/>
    <w:rsid w:val="002E60B2"/>
    <w:rsid w:val="002E715D"/>
    <w:rsid w:val="002F135A"/>
    <w:rsid w:val="002F1594"/>
    <w:rsid w:val="002F264F"/>
    <w:rsid w:val="002F333C"/>
    <w:rsid w:val="002F6BFE"/>
    <w:rsid w:val="002F7CF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0291"/>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094"/>
    <w:rsid w:val="003D350A"/>
    <w:rsid w:val="003D4356"/>
    <w:rsid w:val="003D497E"/>
    <w:rsid w:val="003D62B0"/>
    <w:rsid w:val="003D718A"/>
    <w:rsid w:val="003E11EF"/>
    <w:rsid w:val="003E1BD8"/>
    <w:rsid w:val="003E4179"/>
    <w:rsid w:val="003E532C"/>
    <w:rsid w:val="003E579F"/>
    <w:rsid w:val="003E6978"/>
    <w:rsid w:val="003F0407"/>
    <w:rsid w:val="003F05AF"/>
    <w:rsid w:val="003F098C"/>
    <w:rsid w:val="003F2E56"/>
    <w:rsid w:val="003F3643"/>
    <w:rsid w:val="003F3682"/>
    <w:rsid w:val="003F3CC7"/>
    <w:rsid w:val="003F75C8"/>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C5F"/>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F98"/>
    <w:rsid w:val="004A26C9"/>
    <w:rsid w:val="004A58F7"/>
    <w:rsid w:val="004B0915"/>
    <w:rsid w:val="004B1039"/>
    <w:rsid w:val="004B2492"/>
    <w:rsid w:val="004B2FF9"/>
    <w:rsid w:val="004B4047"/>
    <w:rsid w:val="004B74B8"/>
    <w:rsid w:val="004C2223"/>
    <w:rsid w:val="004C2B7F"/>
    <w:rsid w:val="004C7A27"/>
    <w:rsid w:val="004D1E4C"/>
    <w:rsid w:val="004D4D3A"/>
    <w:rsid w:val="004D4EE0"/>
    <w:rsid w:val="004D5FBA"/>
    <w:rsid w:val="004E1535"/>
    <w:rsid w:val="004E3555"/>
    <w:rsid w:val="004E4F31"/>
    <w:rsid w:val="004E5426"/>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A213D"/>
    <w:rsid w:val="005A387C"/>
    <w:rsid w:val="005A4059"/>
    <w:rsid w:val="005A4543"/>
    <w:rsid w:val="005A5569"/>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5634"/>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08F7"/>
    <w:rsid w:val="00771A5F"/>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8E"/>
    <w:rsid w:val="007B35B8"/>
    <w:rsid w:val="007B3877"/>
    <w:rsid w:val="007B410A"/>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6D20"/>
    <w:rsid w:val="007D7577"/>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43D"/>
    <w:rsid w:val="00887717"/>
    <w:rsid w:val="00890097"/>
    <w:rsid w:val="00895A36"/>
    <w:rsid w:val="00896F72"/>
    <w:rsid w:val="00897F0C"/>
    <w:rsid w:val="008A0ADD"/>
    <w:rsid w:val="008A14EF"/>
    <w:rsid w:val="008A1889"/>
    <w:rsid w:val="008A36CC"/>
    <w:rsid w:val="008A7AF4"/>
    <w:rsid w:val="008B0F0B"/>
    <w:rsid w:val="008B1490"/>
    <w:rsid w:val="008B4639"/>
    <w:rsid w:val="008B533A"/>
    <w:rsid w:val="008B5C03"/>
    <w:rsid w:val="008B5D73"/>
    <w:rsid w:val="008B6D67"/>
    <w:rsid w:val="008C0C45"/>
    <w:rsid w:val="008C1162"/>
    <w:rsid w:val="008C230C"/>
    <w:rsid w:val="008C4D54"/>
    <w:rsid w:val="008C6834"/>
    <w:rsid w:val="008C7830"/>
    <w:rsid w:val="008D0597"/>
    <w:rsid w:val="008D0ECB"/>
    <w:rsid w:val="008D17C6"/>
    <w:rsid w:val="008D2A1B"/>
    <w:rsid w:val="008D424C"/>
    <w:rsid w:val="008D5347"/>
    <w:rsid w:val="008D63C0"/>
    <w:rsid w:val="008D7793"/>
    <w:rsid w:val="008E0F25"/>
    <w:rsid w:val="008E2DB7"/>
    <w:rsid w:val="008E5E6A"/>
    <w:rsid w:val="008E5EF1"/>
    <w:rsid w:val="008F1B52"/>
    <w:rsid w:val="008F4ABA"/>
    <w:rsid w:val="008F4BD9"/>
    <w:rsid w:val="008F4C9D"/>
    <w:rsid w:val="008F5D0A"/>
    <w:rsid w:val="008F6031"/>
    <w:rsid w:val="009011C4"/>
    <w:rsid w:val="009020BC"/>
    <w:rsid w:val="00902368"/>
    <w:rsid w:val="00903030"/>
    <w:rsid w:val="0090485B"/>
    <w:rsid w:val="009052FF"/>
    <w:rsid w:val="009060D0"/>
    <w:rsid w:val="009069BB"/>
    <w:rsid w:val="009134B1"/>
    <w:rsid w:val="00913604"/>
    <w:rsid w:val="00913B67"/>
    <w:rsid w:val="00914B15"/>
    <w:rsid w:val="009247CC"/>
    <w:rsid w:val="00924D6C"/>
    <w:rsid w:val="009274A2"/>
    <w:rsid w:val="00930C58"/>
    <w:rsid w:val="00931FE7"/>
    <w:rsid w:val="009323ED"/>
    <w:rsid w:val="0093254E"/>
    <w:rsid w:val="00932D04"/>
    <w:rsid w:val="009331D5"/>
    <w:rsid w:val="0093447D"/>
    <w:rsid w:val="00935859"/>
    <w:rsid w:val="00936EA5"/>
    <w:rsid w:val="0093793F"/>
    <w:rsid w:val="0094067A"/>
    <w:rsid w:val="00943E22"/>
    <w:rsid w:val="00945FF8"/>
    <w:rsid w:val="00947621"/>
    <w:rsid w:val="00952F29"/>
    <w:rsid w:val="00953311"/>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1C68"/>
    <w:rsid w:val="009C2AF5"/>
    <w:rsid w:val="009C2C0F"/>
    <w:rsid w:val="009C7913"/>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E1"/>
    <w:rsid w:val="00A746F5"/>
    <w:rsid w:val="00A76746"/>
    <w:rsid w:val="00A80CB9"/>
    <w:rsid w:val="00A81620"/>
    <w:rsid w:val="00A8168A"/>
    <w:rsid w:val="00A85589"/>
    <w:rsid w:val="00A876F1"/>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5329"/>
    <w:rsid w:val="00B56131"/>
    <w:rsid w:val="00B565D3"/>
    <w:rsid w:val="00B56674"/>
    <w:rsid w:val="00B61619"/>
    <w:rsid w:val="00B63936"/>
    <w:rsid w:val="00B65113"/>
    <w:rsid w:val="00B66F6B"/>
    <w:rsid w:val="00B70DBE"/>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7B45"/>
    <w:rsid w:val="00BF4A2C"/>
    <w:rsid w:val="00BF5840"/>
    <w:rsid w:val="00BF65DF"/>
    <w:rsid w:val="00BF6B92"/>
    <w:rsid w:val="00C00451"/>
    <w:rsid w:val="00C076EA"/>
    <w:rsid w:val="00C10825"/>
    <w:rsid w:val="00C10877"/>
    <w:rsid w:val="00C12346"/>
    <w:rsid w:val="00C16D12"/>
    <w:rsid w:val="00C21B68"/>
    <w:rsid w:val="00C25F22"/>
    <w:rsid w:val="00C26AB0"/>
    <w:rsid w:val="00C315F5"/>
    <w:rsid w:val="00C31C60"/>
    <w:rsid w:val="00C32DEC"/>
    <w:rsid w:val="00C3313A"/>
    <w:rsid w:val="00C333D8"/>
    <w:rsid w:val="00C33FC9"/>
    <w:rsid w:val="00C34029"/>
    <w:rsid w:val="00C3489C"/>
    <w:rsid w:val="00C34F51"/>
    <w:rsid w:val="00C36100"/>
    <w:rsid w:val="00C40F69"/>
    <w:rsid w:val="00C4200C"/>
    <w:rsid w:val="00C4210B"/>
    <w:rsid w:val="00C43556"/>
    <w:rsid w:val="00C43E90"/>
    <w:rsid w:val="00C4420B"/>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6B6F"/>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6B17"/>
    <w:rsid w:val="00CB76D1"/>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4EDE"/>
    <w:rsid w:val="00CF6CBD"/>
    <w:rsid w:val="00D01B0E"/>
    <w:rsid w:val="00D02090"/>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66E"/>
    <w:rsid w:val="00DD39BF"/>
    <w:rsid w:val="00DD5F76"/>
    <w:rsid w:val="00DE2580"/>
    <w:rsid w:val="00DE2682"/>
    <w:rsid w:val="00DE29E7"/>
    <w:rsid w:val="00DE3C4E"/>
    <w:rsid w:val="00DE5C32"/>
    <w:rsid w:val="00DE73D9"/>
    <w:rsid w:val="00DF1C60"/>
    <w:rsid w:val="00DF2457"/>
    <w:rsid w:val="00DF722E"/>
    <w:rsid w:val="00E0124F"/>
    <w:rsid w:val="00E04B87"/>
    <w:rsid w:val="00E054B1"/>
    <w:rsid w:val="00E058A4"/>
    <w:rsid w:val="00E059F2"/>
    <w:rsid w:val="00E07302"/>
    <w:rsid w:val="00E07A4B"/>
    <w:rsid w:val="00E105DF"/>
    <w:rsid w:val="00E10E96"/>
    <w:rsid w:val="00E123FB"/>
    <w:rsid w:val="00E13DD9"/>
    <w:rsid w:val="00E15551"/>
    <w:rsid w:val="00E159B6"/>
    <w:rsid w:val="00E2131B"/>
    <w:rsid w:val="00E229E9"/>
    <w:rsid w:val="00E22B79"/>
    <w:rsid w:val="00E23001"/>
    <w:rsid w:val="00E24574"/>
    <w:rsid w:val="00E264FF"/>
    <w:rsid w:val="00E31BC0"/>
    <w:rsid w:val="00E3220A"/>
    <w:rsid w:val="00E36D2F"/>
    <w:rsid w:val="00E4036B"/>
    <w:rsid w:val="00E40CF2"/>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157D"/>
    <w:rsid w:val="00EA220B"/>
    <w:rsid w:val="00EA27E1"/>
    <w:rsid w:val="00EA30BC"/>
    <w:rsid w:val="00EA4C7A"/>
    <w:rsid w:val="00EA6008"/>
    <w:rsid w:val="00EA64EF"/>
    <w:rsid w:val="00EB40A2"/>
    <w:rsid w:val="00EB4AC7"/>
    <w:rsid w:val="00EC0A59"/>
    <w:rsid w:val="00EC28CB"/>
    <w:rsid w:val="00EC2995"/>
    <w:rsid w:val="00EC419B"/>
    <w:rsid w:val="00EC6937"/>
    <w:rsid w:val="00EC75D6"/>
    <w:rsid w:val="00ED44BF"/>
    <w:rsid w:val="00ED5DAF"/>
    <w:rsid w:val="00ED738C"/>
    <w:rsid w:val="00EE08A4"/>
    <w:rsid w:val="00EE0A26"/>
    <w:rsid w:val="00EF33E1"/>
    <w:rsid w:val="00EF5973"/>
    <w:rsid w:val="00EF737E"/>
    <w:rsid w:val="00F002E2"/>
    <w:rsid w:val="00F01D0F"/>
    <w:rsid w:val="00F02382"/>
    <w:rsid w:val="00F04553"/>
    <w:rsid w:val="00F04D76"/>
    <w:rsid w:val="00F065A0"/>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3CA6"/>
    <w:rsid w:val="00F241D0"/>
    <w:rsid w:val="00F25A7E"/>
    <w:rsid w:val="00F27008"/>
    <w:rsid w:val="00F302B5"/>
    <w:rsid w:val="00F312A1"/>
    <w:rsid w:val="00F31B93"/>
    <w:rsid w:val="00F322A6"/>
    <w:rsid w:val="00F344EF"/>
    <w:rsid w:val="00F379D0"/>
    <w:rsid w:val="00F42F0E"/>
    <w:rsid w:val="00F43E8C"/>
    <w:rsid w:val="00F44B56"/>
    <w:rsid w:val="00F450EF"/>
    <w:rsid w:val="00F478E9"/>
    <w:rsid w:val="00F50759"/>
    <w:rsid w:val="00F51072"/>
    <w:rsid w:val="00F5154F"/>
    <w:rsid w:val="00F53F8E"/>
    <w:rsid w:val="00F554EE"/>
    <w:rsid w:val="00F55FFA"/>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2E7C"/>
    <w:rsid w:val="00FB4087"/>
    <w:rsid w:val="00FB57CE"/>
    <w:rsid w:val="00FB6524"/>
    <w:rsid w:val="00FB6D34"/>
    <w:rsid w:val="00FB6F43"/>
    <w:rsid w:val="00FB7B61"/>
    <w:rsid w:val="00FC04F9"/>
    <w:rsid w:val="00FC12A3"/>
    <w:rsid w:val="00FC2250"/>
    <w:rsid w:val="00FC44C1"/>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A3C4E-C261-44B9-A0B6-BAB3BCD3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5859"/>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93585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935859"/>
    <w:rPr>
      <w:b/>
      <w:bCs/>
    </w:rPr>
  </w:style>
  <w:style w:type="character" w:styleId="Hyperlink">
    <w:name w:val="Hyperlink"/>
    <w:basedOn w:val="DefaultParagraphFont"/>
    <w:uiPriority w:val="99"/>
    <w:unhideWhenUsed/>
    <w:rsid w:val="00935859"/>
    <w:rPr>
      <w:color w:val="0000FF"/>
      <w:u w:val="single"/>
    </w:rPr>
  </w:style>
  <w:style w:type="character" w:customStyle="1" w:styleId="text3">
    <w:name w:val="text3"/>
    <w:basedOn w:val="DefaultParagraphFont"/>
    <w:rsid w:val="00935859"/>
  </w:style>
  <w:style w:type="character" w:customStyle="1" w:styleId="subfielddata">
    <w:name w:val="subfielddata"/>
    <w:basedOn w:val="DefaultParagraphFont"/>
    <w:rsid w:val="00935859"/>
  </w:style>
  <w:style w:type="character" w:customStyle="1" w:styleId="fieldlabelspan">
    <w:name w:val="fieldlabelspan"/>
    <w:basedOn w:val="DefaultParagraphFont"/>
    <w:rsid w:val="00935859"/>
  </w:style>
  <w:style w:type="character" w:customStyle="1" w:styleId="Heading2Char">
    <w:name w:val="Heading 2 Char"/>
    <w:basedOn w:val="DefaultParagraphFont"/>
    <w:link w:val="Heading2"/>
    <w:uiPriority w:val="9"/>
    <w:rsid w:val="00935859"/>
    <w:rPr>
      <w:rFonts w:eastAsia="Times New Roman"/>
      <w:b/>
      <w:bCs/>
      <w:sz w:val="36"/>
      <w:szCs w:val="36"/>
    </w:rPr>
  </w:style>
  <w:style w:type="paragraph" w:customStyle="1" w:styleId="author">
    <w:name w:val="author"/>
    <w:basedOn w:val="Normal"/>
    <w:rsid w:val="00935859"/>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semiHidden/>
    <w:rsid w:val="00935859"/>
    <w:rPr>
      <w:rFonts w:asciiTheme="majorHAnsi" w:eastAsiaTheme="majorEastAsia" w:hAnsiTheme="majorHAnsi" w:cstheme="majorBidi"/>
      <w:color w:val="1F4D78" w:themeColor="accent1" w:themeShade="7F"/>
    </w:rPr>
  </w:style>
  <w:style w:type="character" w:customStyle="1" w:styleId="st">
    <w:name w:val="st"/>
    <w:basedOn w:val="DefaultParagraphFont"/>
    <w:rsid w:val="00935859"/>
  </w:style>
  <w:style w:type="paragraph" w:styleId="NormalWeb">
    <w:name w:val="Normal (Web)"/>
    <w:basedOn w:val="Normal"/>
    <w:uiPriority w:val="99"/>
    <w:unhideWhenUsed/>
    <w:rsid w:val="00935859"/>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935859"/>
    <w:rPr>
      <w:color w:val="954F72" w:themeColor="followedHyperlink"/>
      <w:u w:val="single"/>
    </w:rPr>
  </w:style>
  <w:style w:type="paragraph" w:styleId="ListParagraph">
    <w:name w:val="List Paragraph"/>
    <w:basedOn w:val="Normal"/>
    <w:uiPriority w:val="34"/>
    <w:qFormat/>
    <w:rsid w:val="00935859"/>
    <w:pPr>
      <w:ind w:left="720"/>
      <w:contextualSpacing/>
    </w:pPr>
  </w:style>
  <w:style w:type="character" w:customStyle="1" w:styleId="notranslate">
    <w:name w:val="notranslate"/>
    <w:basedOn w:val="DefaultParagraphFont"/>
    <w:rsid w:val="00320291"/>
  </w:style>
  <w:style w:type="character" w:customStyle="1" w:styleId="geo-dms">
    <w:name w:val="geo-dms"/>
    <w:basedOn w:val="DefaultParagraphFont"/>
    <w:rsid w:val="004E3555"/>
  </w:style>
  <w:style w:type="character" w:customStyle="1" w:styleId="latitude">
    <w:name w:val="latitude"/>
    <w:basedOn w:val="DefaultParagraphFont"/>
    <w:rsid w:val="004E3555"/>
  </w:style>
  <w:style w:type="character" w:customStyle="1" w:styleId="longitude">
    <w:name w:val="longitude"/>
    <w:basedOn w:val="DefaultParagraphFont"/>
    <w:rsid w:val="004E3555"/>
  </w:style>
  <w:style w:type="paragraph" w:styleId="BalloonText">
    <w:name w:val="Balloon Text"/>
    <w:basedOn w:val="Normal"/>
    <w:link w:val="BalloonTextChar"/>
    <w:uiPriority w:val="99"/>
    <w:semiHidden/>
    <w:unhideWhenUsed/>
    <w:rsid w:val="003F75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5C8"/>
    <w:rPr>
      <w:rFonts w:ascii="Segoe UI" w:hAnsi="Segoe UI" w:cs="Segoe UI"/>
      <w:sz w:val="18"/>
      <w:szCs w:val="18"/>
    </w:rPr>
  </w:style>
  <w:style w:type="character" w:styleId="CommentReference">
    <w:name w:val="annotation reference"/>
    <w:basedOn w:val="DefaultParagraphFont"/>
    <w:uiPriority w:val="99"/>
    <w:semiHidden/>
    <w:unhideWhenUsed/>
    <w:rsid w:val="002A1CC2"/>
    <w:rPr>
      <w:sz w:val="16"/>
      <w:szCs w:val="16"/>
    </w:rPr>
  </w:style>
  <w:style w:type="paragraph" w:styleId="CommentText">
    <w:name w:val="annotation text"/>
    <w:basedOn w:val="Normal"/>
    <w:link w:val="CommentTextChar"/>
    <w:uiPriority w:val="99"/>
    <w:semiHidden/>
    <w:unhideWhenUsed/>
    <w:rsid w:val="002A1CC2"/>
    <w:rPr>
      <w:sz w:val="20"/>
      <w:szCs w:val="20"/>
    </w:rPr>
  </w:style>
  <w:style w:type="character" w:customStyle="1" w:styleId="CommentTextChar">
    <w:name w:val="Comment Text Char"/>
    <w:basedOn w:val="DefaultParagraphFont"/>
    <w:link w:val="CommentText"/>
    <w:uiPriority w:val="99"/>
    <w:semiHidden/>
    <w:rsid w:val="002A1CC2"/>
    <w:rPr>
      <w:sz w:val="20"/>
      <w:szCs w:val="20"/>
    </w:rPr>
  </w:style>
  <w:style w:type="paragraph" w:styleId="CommentSubject">
    <w:name w:val="annotation subject"/>
    <w:basedOn w:val="CommentText"/>
    <w:next w:val="CommentText"/>
    <w:link w:val="CommentSubjectChar"/>
    <w:uiPriority w:val="99"/>
    <w:semiHidden/>
    <w:unhideWhenUsed/>
    <w:rsid w:val="002A1CC2"/>
    <w:rPr>
      <w:b/>
      <w:bCs/>
    </w:rPr>
  </w:style>
  <w:style w:type="character" w:customStyle="1" w:styleId="CommentSubjectChar">
    <w:name w:val="Comment Subject Char"/>
    <w:basedOn w:val="CommentTextChar"/>
    <w:link w:val="CommentSubject"/>
    <w:uiPriority w:val="99"/>
    <w:semiHidden/>
    <w:rsid w:val="002A1CC2"/>
    <w:rPr>
      <w:b/>
      <w:bCs/>
      <w:sz w:val="20"/>
      <w:szCs w:val="20"/>
    </w:rPr>
  </w:style>
  <w:style w:type="character" w:styleId="Emphasis">
    <w:name w:val="Emphasis"/>
    <w:basedOn w:val="DefaultParagraphFont"/>
    <w:uiPriority w:val="20"/>
    <w:qFormat/>
    <w:rsid w:val="002852ED"/>
    <w:rPr>
      <w:i/>
      <w:iCs/>
    </w:rPr>
  </w:style>
  <w:style w:type="character" w:customStyle="1" w:styleId="ipa">
    <w:name w:val="ipa"/>
    <w:basedOn w:val="DefaultParagraphFont"/>
    <w:rsid w:val="00F01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8760">
      <w:bodyDiv w:val="1"/>
      <w:marLeft w:val="0"/>
      <w:marRight w:val="0"/>
      <w:marTop w:val="0"/>
      <w:marBottom w:val="0"/>
      <w:divBdr>
        <w:top w:val="none" w:sz="0" w:space="0" w:color="auto"/>
        <w:left w:val="none" w:sz="0" w:space="0" w:color="auto"/>
        <w:bottom w:val="none" w:sz="0" w:space="0" w:color="auto"/>
        <w:right w:val="none" w:sz="0" w:space="0" w:color="auto"/>
      </w:divBdr>
    </w:div>
    <w:div w:id="233901369">
      <w:bodyDiv w:val="1"/>
      <w:marLeft w:val="0"/>
      <w:marRight w:val="0"/>
      <w:marTop w:val="0"/>
      <w:marBottom w:val="0"/>
      <w:divBdr>
        <w:top w:val="none" w:sz="0" w:space="0" w:color="auto"/>
        <w:left w:val="none" w:sz="0" w:space="0" w:color="auto"/>
        <w:bottom w:val="none" w:sz="0" w:space="0" w:color="auto"/>
        <w:right w:val="none" w:sz="0" w:space="0" w:color="auto"/>
      </w:divBdr>
      <w:divsChild>
        <w:div w:id="2042706079">
          <w:marLeft w:val="0"/>
          <w:marRight w:val="0"/>
          <w:marTop w:val="0"/>
          <w:marBottom w:val="0"/>
          <w:divBdr>
            <w:top w:val="none" w:sz="0" w:space="0" w:color="auto"/>
            <w:left w:val="none" w:sz="0" w:space="0" w:color="auto"/>
            <w:bottom w:val="none" w:sz="0" w:space="0" w:color="auto"/>
            <w:right w:val="none" w:sz="0" w:space="0" w:color="auto"/>
          </w:divBdr>
        </w:div>
        <w:div w:id="315691046">
          <w:marLeft w:val="0"/>
          <w:marRight w:val="0"/>
          <w:marTop w:val="0"/>
          <w:marBottom w:val="0"/>
          <w:divBdr>
            <w:top w:val="none" w:sz="0" w:space="0" w:color="auto"/>
            <w:left w:val="none" w:sz="0" w:space="0" w:color="auto"/>
            <w:bottom w:val="none" w:sz="0" w:space="0" w:color="auto"/>
            <w:right w:val="none" w:sz="0" w:space="0" w:color="auto"/>
          </w:divBdr>
          <w:divsChild>
            <w:div w:id="12963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866">
      <w:bodyDiv w:val="1"/>
      <w:marLeft w:val="0"/>
      <w:marRight w:val="0"/>
      <w:marTop w:val="0"/>
      <w:marBottom w:val="0"/>
      <w:divBdr>
        <w:top w:val="none" w:sz="0" w:space="0" w:color="auto"/>
        <w:left w:val="none" w:sz="0" w:space="0" w:color="auto"/>
        <w:bottom w:val="none" w:sz="0" w:space="0" w:color="auto"/>
        <w:right w:val="none" w:sz="0" w:space="0" w:color="auto"/>
      </w:divBdr>
      <w:divsChild>
        <w:div w:id="502285160">
          <w:marLeft w:val="0"/>
          <w:marRight w:val="0"/>
          <w:marTop w:val="0"/>
          <w:marBottom w:val="0"/>
          <w:divBdr>
            <w:top w:val="none" w:sz="0" w:space="0" w:color="auto"/>
            <w:left w:val="none" w:sz="0" w:space="0" w:color="auto"/>
            <w:bottom w:val="none" w:sz="0" w:space="0" w:color="auto"/>
            <w:right w:val="none" w:sz="0" w:space="0" w:color="auto"/>
          </w:divBdr>
        </w:div>
      </w:divsChild>
    </w:div>
    <w:div w:id="497841422">
      <w:bodyDiv w:val="1"/>
      <w:marLeft w:val="0"/>
      <w:marRight w:val="0"/>
      <w:marTop w:val="0"/>
      <w:marBottom w:val="0"/>
      <w:divBdr>
        <w:top w:val="none" w:sz="0" w:space="0" w:color="auto"/>
        <w:left w:val="none" w:sz="0" w:space="0" w:color="auto"/>
        <w:bottom w:val="none" w:sz="0" w:space="0" w:color="auto"/>
        <w:right w:val="none" w:sz="0" w:space="0" w:color="auto"/>
      </w:divBdr>
    </w:div>
    <w:div w:id="678773308">
      <w:bodyDiv w:val="1"/>
      <w:marLeft w:val="0"/>
      <w:marRight w:val="0"/>
      <w:marTop w:val="0"/>
      <w:marBottom w:val="0"/>
      <w:divBdr>
        <w:top w:val="none" w:sz="0" w:space="0" w:color="auto"/>
        <w:left w:val="none" w:sz="0" w:space="0" w:color="auto"/>
        <w:bottom w:val="none" w:sz="0" w:space="0" w:color="auto"/>
        <w:right w:val="none" w:sz="0" w:space="0" w:color="auto"/>
      </w:divBdr>
      <w:divsChild>
        <w:div w:id="344795573">
          <w:marLeft w:val="0"/>
          <w:marRight w:val="0"/>
          <w:marTop w:val="0"/>
          <w:marBottom w:val="0"/>
          <w:divBdr>
            <w:top w:val="none" w:sz="0" w:space="0" w:color="auto"/>
            <w:left w:val="none" w:sz="0" w:space="0" w:color="auto"/>
            <w:bottom w:val="none" w:sz="0" w:space="0" w:color="auto"/>
            <w:right w:val="none" w:sz="0" w:space="0" w:color="auto"/>
          </w:divBdr>
        </w:div>
      </w:divsChild>
    </w:div>
    <w:div w:id="1143160159">
      <w:bodyDiv w:val="1"/>
      <w:marLeft w:val="0"/>
      <w:marRight w:val="0"/>
      <w:marTop w:val="0"/>
      <w:marBottom w:val="0"/>
      <w:divBdr>
        <w:top w:val="none" w:sz="0" w:space="0" w:color="auto"/>
        <w:left w:val="none" w:sz="0" w:space="0" w:color="auto"/>
        <w:bottom w:val="none" w:sz="0" w:space="0" w:color="auto"/>
        <w:right w:val="none" w:sz="0" w:space="0" w:color="auto"/>
      </w:divBdr>
    </w:div>
    <w:div w:id="1540125122">
      <w:bodyDiv w:val="1"/>
      <w:marLeft w:val="0"/>
      <w:marRight w:val="0"/>
      <w:marTop w:val="0"/>
      <w:marBottom w:val="0"/>
      <w:divBdr>
        <w:top w:val="none" w:sz="0" w:space="0" w:color="auto"/>
        <w:left w:val="none" w:sz="0" w:space="0" w:color="auto"/>
        <w:bottom w:val="none" w:sz="0" w:space="0" w:color="auto"/>
        <w:right w:val="none" w:sz="0" w:space="0" w:color="auto"/>
      </w:divBdr>
    </w:div>
    <w:div w:id="1890147295">
      <w:bodyDiv w:val="1"/>
      <w:marLeft w:val="0"/>
      <w:marRight w:val="0"/>
      <w:marTop w:val="0"/>
      <w:marBottom w:val="0"/>
      <w:divBdr>
        <w:top w:val="none" w:sz="0" w:space="0" w:color="auto"/>
        <w:left w:val="none" w:sz="0" w:space="0" w:color="auto"/>
        <w:bottom w:val="none" w:sz="0" w:space="0" w:color="auto"/>
        <w:right w:val="none" w:sz="0" w:space="0" w:color="auto"/>
      </w:divBdr>
      <w:divsChild>
        <w:div w:id="119887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11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cott\Desktop\New%20folder\A%20183%20Afr-Egy-Amulet-Anubis-Faience-192%20.16%20m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 183 Afr-Egy-Amulet-Anubis-Faience-192 .16 mm</Template>
  <TotalTime>0</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cp:lastPrinted>2017-07-05T21:02:00Z</cp:lastPrinted>
  <dcterms:created xsi:type="dcterms:W3CDTF">2018-07-02T15:18:00Z</dcterms:created>
  <dcterms:modified xsi:type="dcterms:W3CDTF">2018-07-02T15:18:00Z</dcterms:modified>
</cp:coreProperties>
</file>