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151F1C"/>
    <w:p w:rsidR="00886A01" w:rsidRDefault="00886A01">
      <w:bookmarkStart w:id="0" w:name="_GoBack"/>
      <w:r>
        <w:t xml:space="preserve">A000-Afr-Egyptian-Queen </w:t>
      </w:r>
      <w:proofErr w:type="spellStart"/>
      <w:r>
        <w:t>Tiye</w:t>
      </w:r>
      <w:proofErr w:type="spellEnd"/>
      <w:r>
        <w:t>-</w:t>
      </w:r>
      <w:r w:rsidRPr="00886A01">
        <w:t>Dynasty 18, ca.1355</w:t>
      </w:r>
    </w:p>
    <w:bookmarkEnd w:id="0"/>
    <w:p w:rsidR="00886A01" w:rsidRDefault="00886A01">
      <w:pPr>
        <w:rPr>
          <w:noProof/>
        </w:rPr>
      </w:pPr>
      <w:r>
        <w:rPr>
          <w:noProof/>
        </w:rPr>
        <w:drawing>
          <wp:inline distT="0" distB="0" distL="0" distR="0" wp14:anchorId="0BA5548D" wp14:editId="5EBC1A2B">
            <wp:extent cx="1962150" cy="3848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62150" cy="3848100"/>
                    </a:xfrm>
                    <a:prstGeom prst="rect">
                      <a:avLst/>
                    </a:prstGeom>
                  </pic:spPr>
                </pic:pic>
              </a:graphicData>
            </a:graphic>
          </wp:inline>
        </w:drawing>
      </w:r>
      <w:r>
        <w:rPr>
          <w:noProof/>
        </w:rPr>
        <w:t xml:space="preserve"> </w:t>
      </w:r>
      <w:r>
        <w:rPr>
          <w:noProof/>
        </w:rPr>
        <w:drawing>
          <wp:inline distT="0" distB="0" distL="0" distR="0" wp14:anchorId="134CD125" wp14:editId="6A057E12">
            <wp:extent cx="2695929" cy="3854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7226" cy="3856305"/>
                    </a:xfrm>
                    <a:prstGeom prst="rect">
                      <a:avLst/>
                    </a:prstGeom>
                  </pic:spPr>
                </pic:pic>
              </a:graphicData>
            </a:graphic>
          </wp:inline>
        </w:drawing>
      </w:r>
      <w:r w:rsidRPr="00886A01">
        <w:t xml:space="preserve"> </w:t>
      </w:r>
      <w:r>
        <w:rPr>
          <w:noProof/>
        </w:rPr>
        <w:drawing>
          <wp:inline distT="0" distB="0" distL="0" distR="0" wp14:anchorId="25A7AE7C" wp14:editId="2CDD9454">
            <wp:extent cx="2006600" cy="388031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4909" cy="3896380"/>
                    </a:xfrm>
                    <a:prstGeom prst="rect">
                      <a:avLst/>
                    </a:prstGeom>
                  </pic:spPr>
                </pic:pic>
              </a:graphicData>
            </a:graphic>
          </wp:inline>
        </w:drawing>
      </w:r>
      <w:r>
        <w:rPr>
          <w:noProof/>
        </w:rPr>
        <w:t xml:space="preserve">  </w:t>
      </w:r>
    </w:p>
    <w:p w:rsidR="00886A01" w:rsidRDefault="00886A01">
      <w:pPr>
        <w:rPr>
          <w:noProof/>
        </w:rPr>
      </w:pPr>
    </w:p>
    <w:p w:rsidR="00886A01" w:rsidRDefault="00886A01" w:rsidP="00886A01">
      <w:pPr>
        <w:pStyle w:val="NormalWeb"/>
        <w:spacing w:before="0" w:beforeAutospacing="0" w:after="160" w:afterAutospacing="0"/>
        <w:rPr>
          <w:rFonts w:ascii="Arial" w:hAnsi="Arial" w:cs="Arial"/>
          <w:color w:val="000000"/>
          <w:sz w:val="36"/>
          <w:szCs w:val="36"/>
        </w:rPr>
      </w:pPr>
      <w:r>
        <w:rPr>
          <w:rFonts w:ascii="Arial" w:hAnsi="Arial" w:cs="Arial"/>
          <w:color w:val="000000"/>
        </w:rPr>
        <w:t>12.5 x 7 x 6 cm   (5" x 2.75" x 2.4" Inches).</w:t>
      </w:r>
    </w:p>
    <w:p w:rsidR="00886A01" w:rsidRDefault="00886A01" w:rsidP="00886A01">
      <w:pPr>
        <w:pStyle w:val="NormalWeb"/>
        <w:spacing w:before="0" w:beforeAutospacing="0" w:after="160" w:afterAutospacing="0"/>
        <w:rPr>
          <w:rFonts w:ascii="Arial" w:hAnsi="Arial" w:cs="Arial"/>
          <w:color w:val="000000"/>
          <w:sz w:val="36"/>
          <w:szCs w:val="36"/>
        </w:rPr>
      </w:pPr>
      <w:r>
        <w:rPr>
          <w:rFonts w:ascii="Arial" w:hAnsi="Arial" w:cs="Arial"/>
          <w:color w:val="000000"/>
        </w:rPr>
        <w:t>+ 375 grams in weight.</w:t>
      </w:r>
    </w:p>
    <w:p w:rsidR="00886A01" w:rsidRDefault="00886A01" w:rsidP="00886A01">
      <w:pPr>
        <w:rPr>
          <w:rStyle w:val="Strong"/>
        </w:rPr>
      </w:pPr>
      <w:r>
        <w:rPr>
          <w:rStyle w:val="Strong"/>
        </w:rPr>
        <w:t>Case No.: 2</w:t>
      </w:r>
    </w:p>
    <w:p w:rsidR="00886A01" w:rsidRDefault="00886A01" w:rsidP="00886A01">
      <w:pPr>
        <w:rPr>
          <w:rStyle w:val="Strong"/>
        </w:rPr>
      </w:pPr>
      <w:r>
        <w:rPr>
          <w:rStyle w:val="Strong"/>
        </w:rPr>
        <w:t>Accession No.</w:t>
      </w:r>
    </w:p>
    <w:p w:rsidR="00886A01" w:rsidRDefault="00886A01" w:rsidP="00886A01">
      <w:pPr>
        <w:rPr>
          <w:rStyle w:val="Strong"/>
        </w:rPr>
      </w:pPr>
      <w:r>
        <w:rPr>
          <w:rStyle w:val="Strong"/>
        </w:rPr>
        <w:t xml:space="preserve">Formal Label: </w:t>
      </w:r>
      <w:r>
        <w:t xml:space="preserve">Egyptian Queen </w:t>
      </w:r>
      <w:proofErr w:type="spellStart"/>
      <w:r>
        <w:t>Tiye</w:t>
      </w:r>
      <w:proofErr w:type="spellEnd"/>
      <w:r>
        <w:t>-Terracotta-</w:t>
      </w:r>
      <w:r w:rsidRPr="00886A01">
        <w:t>Dynasty 18</w:t>
      </w:r>
      <w:r>
        <w:t>-</w:t>
      </w:r>
      <w:r w:rsidRPr="00886A01">
        <w:t>ca.1355</w:t>
      </w:r>
    </w:p>
    <w:p w:rsidR="00886A01" w:rsidRDefault="00886A01" w:rsidP="00886A01">
      <w:pPr>
        <w:rPr>
          <w:b/>
          <w:bCs/>
        </w:rPr>
      </w:pPr>
      <w:r w:rsidRPr="00ED4BF3">
        <w:rPr>
          <w:b/>
          <w:bCs/>
        </w:rPr>
        <w:t>Display Description:</w:t>
      </w:r>
      <w:r>
        <w:rPr>
          <w:b/>
          <w:bCs/>
        </w:rPr>
        <w:t xml:space="preserve"> </w:t>
      </w:r>
    </w:p>
    <w:p w:rsidR="000E3685" w:rsidRDefault="002D5C15" w:rsidP="000E3685">
      <w:pPr>
        <w:rPr>
          <w:b/>
          <w:bCs/>
        </w:rPr>
      </w:pPr>
      <w:r>
        <w:t xml:space="preserve">Queen </w:t>
      </w:r>
      <w:proofErr w:type="spellStart"/>
      <w:r w:rsidR="00886A01" w:rsidRPr="00886A01">
        <w:t>Tiye</w:t>
      </w:r>
      <w:proofErr w:type="spellEnd"/>
      <w:r>
        <w:t xml:space="preserve"> </w:t>
      </w:r>
      <w:r>
        <w:rPr>
          <w:noProof/>
        </w:rPr>
        <w:drawing>
          <wp:inline distT="0" distB="0" distL="0" distR="0" wp14:anchorId="3FEAC246" wp14:editId="2980A4CC">
            <wp:extent cx="406400" cy="18258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729" cy="198457"/>
                    </a:xfrm>
                    <a:prstGeom prst="rect">
                      <a:avLst/>
                    </a:prstGeom>
                  </pic:spPr>
                </pic:pic>
              </a:graphicData>
            </a:graphic>
          </wp:inline>
        </w:drawing>
      </w:r>
      <w:r w:rsidR="00886A01" w:rsidRPr="00886A01">
        <w:t xml:space="preserve"> (</w:t>
      </w:r>
      <w:r>
        <w:t>c</w:t>
      </w:r>
      <w:r w:rsidR="00886A01" w:rsidRPr="00886A01">
        <w:t xml:space="preserve"> 1400 </w:t>
      </w:r>
      <w:r w:rsidR="00886A01">
        <w:t>BCE</w:t>
      </w:r>
      <w:r w:rsidR="00886A01" w:rsidRPr="00886A01">
        <w:t xml:space="preserve"> </w:t>
      </w:r>
      <w:proofErr w:type="spellStart"/>
      <w:r w:rsidR="00886A01" w:rsidRPr="00886A01">
        <w:t>Ipu</w:t>
      </w:r>
      <w:proofErr w:type="spellEnd"/>
      <w:r w:rsidR="00886A01" w:rsidRPr="00886A01">
        <w:t>, Egypt—</w:t>
      </w:r>
      <w:r>
        <w:t xml:space="preserve">c </w:t>
      </w:r>
      <w:r w:rsidR="00886A01" w:rsidRPr="00886A01">
        <w:t xml:space="preserve">1340), one of the most illustrious queens of ancient Egypt. She was the daughter of </w:t>
      </w:r>
      <w:proofErr w:type="spellStart"/>
      <w:r w:rsidR="00886A01" w:rsidRPr="00886A01">
        <w:t>Yuya</w:t>
      </w:r>
      <w:proofErr w:type="spellEnd"/>
      <w:r w:rsidR="00886A01" w:rsidRPr="00886A01">
        <w:t xml:space="preserve">, </w:t>
      </w:r>
      <w:r w:rsidR="000E3685">
        <w:rPr>
          <w:rFonts w:ascii="Arial" w:hAnsi="Arial" w:cs="Arial"/>
          <w:color w:val="222222"/>
          <w:sz w:val="21"/>
          <w:szCs w:val="21"/>
          <w:shd w:val="clear" w:color="auto" w:fill="FFFFFF"/>
        </w:rPr>
        <w:t>a non-royal, wealthy landowner from the Upper Egyptian town of </w:t>
      </w:r>
      <w:proofErr w:type="spellStart"/>
      <w:r w:rsidR="000E3685">
        <w:fldChar w:fldCharType="begin"/>
      </w:r>
      <w:r w:rsidR="000E3685">
        <w:instrText xml:space="preserve"> HYPERLINK "https://en.wikipedia.org/wiki/Akhmin" \o "Akhmin" </w:instrText>
      </w:r>
      <w:r w:rsidR="000E3685">
        <w:fldChar w:fldCharType="separate"/>
      </w:r>
      <w:r w:rsidR="000E3685">
        <w:rPr>
          <w:rStyle w:val="Hyperlink"/>
          <w:rFonts w:ascii="Arial" w:hAnsi="Arial" w:cs="Arial"/>
          <w:color w:val="0B0080"/>
          <w:sz w:val="21"/>
          <w:szCs w:val="21"/>
          <w:shd w:val="clear" w:color="auto" w:fill="FFFFFF"/>
        </w:rPr>
        <w:t>Akhmin</w:t>
      </w:r>
      <w:proofErr w:type="spellEnd"/>
      <w:r w:rsidR="000E3685">
        <w:fldChar w:fldCharType="end"/>
      </w:r>
      <w:r w:rsidR="000E3685">
        <w:rPr>
          <w:rFonts w:ascii="Arial" w:hAnsi="Arial" w:cs="Arial"/>
          <w:color w:val="222222"/>
          <w:sz w:val="21"/>
          <w:szCs w:val="21"/>
          <w:shd w:val="clear" w:color="auto" w:fill="FFFFFF"/>
        </w:rPr>
        <w:t xml:space="preserve"> and </w:t>
      </w:r>
      <w:r w:rsidR="00886A01" w:rsidRPr="00886A01">
        <w:t xml:space="preserve">the commander of the Egyptian </w:t>
      </w:r>
      <w:proofErr w:type="spellStart"/>
      <w:r w:rsidR="00886A01" w:rsidRPr="00886A01">
        <w:t>chariotry</w:t>
      </w:r>
      <w:proofErr w:type="spellEnd"/>
      <w:r w:rsidR="00886A01" w:rsidRPr="00886A01">
        <w:t xml:space="preserve"> and overseer of the cattle of the god Min;</w:t>
      </w:r>
      <w:r w:rsidR="000E3685">
        <w:rPr>
          <w:rFonts w:ascii="Arial" w:hAnsi="Arial" w:cs="Arial"/>
          <w:color w:val="222222"/>
          <w:sz w:val="21"/>
          <w:szCs w:val="21"/>
          <w:shd w:val="clear" w:color="auto" w:fill="FFFFFF"/>
        </w:rPr>
        <w:t> </w:t>
      </w:r>
      <w:proofErr w:type="spellStart"/>
      <w:r w:rsidR="000E3685">
        <w:rPr>
          <w:rFonts w:ascii="Arial" w:hAnsi="Arial" w:cs="Arial"/>
          <w:color w:val="222222"/>
          <w:sz w:val="21"/>
          <w:szCs w:val="21"/>
          <w:shd w:val="clear" w:color="auto" w:fill="FFFFFF"/>
        </w:rPr>
        <w:t>Tiye's</w:t>
      </w:r>
      <w:proofErr w:type="spellEnd"/>
      <w:r w:rsidR="000E3685">
        <w:rPr>
          <w:rFonts w:ascii="Arial" w:hAnsi="Arial" w:cs="Arial"/>
          <w:color w:val="222222"/>
          <w:sz w:val="21"/>
          <w:szCs w:val="21"/>
          <w:shd w:val="clear" w:color="auto" w:fill="FFFFFF"/>
        </w:rPr>
        <w:t xml:space="preserve"> mother, </w:t>
      </w:r>
      <w:proofErr w:type="spellStart"/>
      <w:r w:rsidR="000E3685">
        <w:fldChar w:fldCharType="begin"/>
      </w:r>
      <w:r w:rsidR="000E3685">
        <w:instrText xml:space="preserve"> HYPERLINK "https://en.wikipedia.org/wiki/Thuya" \o "Thuya" </w:instrText>
      </w:r>
      <w:r w:rsidR="000E3685">
        <w:fldChar w:fldCharType="separate"/>
      </w:r>
      <w:r w:rsidR="000E3685">
        <w:rPr>
          <w:rStyle w:val="Hyperlink"/>
          <w:rFonts w:ascii="Arial" w:hAnsi="Arial" w:cs="Arial"/>
          <w:color w:val="0B0080"/>
          <w:sz w:val="21"/>
          <w:szCs w:val="21"/>
          <w:shd w:val="clear" w:color="auto" w:fill="FFFFFF"/>
        </w:rPr>
        <w:t>Thuya</w:t>
      </w:r>
      <w:proofErr w:type="spellEnd"/>
      <w:r w:rsidR="000E3685">
        <w:fldChar w:fldCharType="end"/>
      </w:r>
      <w:r w:rsidR="000E3685">
        <w:rPr>
          <w:rFonts w:ascii="Arial" w:hAnsi="Arial" w:cs="Arial"/>
          <w:color w:val="222222"/>
          <w:sz w:val="21"/>
          <w:szCs w:val="21"/>
          <w:shd w:val="clear" w:color="auto" w:fill="FFFFFF"/>
        </w:rPr>
        <w:t>, was involved in religious cults (</w:t>
      </w:r>
      <w:r w:rsidR="000E3685" w:rsidRPr="000E3685">
        <w:t>Singer of Hathor, Chief of the Entertainers </w:t>
      </w:r>
      <w:r w:rsidR="000E3685">
        <w:rPr>
          <w:rFonts w:ascii="Arial" w:hAnsi="Arial" w:cs="Arial"/>
          <w:color w:val="222222"/>
          <w:sz w:val="21"/>
          <w:szCs w:val="21"/>
          <w:shd w:val="clear" w:color="auto" w:fill="FFFFFF"/>
        </w:rPr>
        <w:t>of both </w:t>
      </w:r>
      <w:proofErr w:type="spellStart"/>
      <w:r w:rsidR="000E3685">
        <w:fldChar w:fldCharType="begin"/>
      </w:r>
      <w:r w:rsidR="000E3685">
        <w:instrText xml:space="preserve"> HYPERLINK "https://en.wikipedia.org/wiki/Amun" \o "Amun" </w:instrText>
      </w:r>
      <w:r w:rsidR="000E3685">
        <w:fldChar w:fldCharType="separate"/>
      </w:r>
      <w:r w:rsidR="000E3685">
        <w:rPr>
          <w:rStyle w:val="Hyperlink"/>
          <w:rFonts w:ascii="Arial" w:hAnsi="Arial" w:cs="Arial"/>
          <w:color w:val="0B0080"/>
          <w:sz w:val="21"/>
          <w:szCs w:val="21"/>
          <w:shd w:val="clear" w:color="auto" w:fill="FFFFFF"/>
        </w:rPr>
        <w:t>Amun</w:t>
      </w:r>
      <w:proofErr w:type="spellEnd"/>
      <w:r w:rsidR="000E3685">
        <w:fldChar w:fldCharType="end"/>
      </w:r>
      <w:r w:rsidR="000E3685">
        <w:rPr>
          <w:rFonts w:ascii="Arial" w:hAnsi="Arial" w:cs="Arial"/>
          <w:color w:val="222222"/>
          <w:sz w:val="21"/>
          <w:szCs w:val="21"/>
          <w:shd w:val="clear" w:color="auto" w:fill="FFFFFF"/>
        </w:rPr>
        <w:t> and </w:t>
      </w:r>
      <w:hyperlink r:id="rId8" w:tooltip="Min (god)" w:history="1">
        <w:r w:rsidR="000E3685">
          <w:rPr>
            <w:rStyle w:val="Hyperlink"/>
            <w:rFonts w:ascii="Arial" w:hAnsi="Arial" w:cs="Arial"/>
            <w:color w:val="0B0080"/>
            <w:sz w:val="21"/>
            <w:szCs w:val="21"/>
            <w:shd w:val="clear" w:color="auto" w:fill="FFFFFF"/>
          </w:rPr>
          <w:t>Min</w:t>
        </w:r>
      </w:hyperlink>
      <w:r w:rsidR="000E3685">
        <w:rPr>
          <w:rFonts w:ascii="Arial" w:hAnsi="Arial" w:cs="Arial"/>
          <w:color w:val="222222"/>
          <w:sz w:val="21"/>
          <w:szCs w:val="21"/>
          <w:shd w:val="clear" w:color="auto" w:fill="FFFFFF"/>
        </w:rPr>
        <w:t>) which suggests that she was a member of the royal family.</w:t>
      </w:r>
    </w:p>
    <w:p w:rsidR="00886A01" w:rsidRDefault="002D5C15" w:rsidP="00886A01">
      <w:r w:rsidRPr="002D5C15">
        <w:t>She became the Great Royal Wife</w:t>
      </w:r>
      <w:r>
        <w:t> of t</w:t>
      </w:r>
      <w:r w:rsidRPr="002D5C15">
        <w:t>he Egyptian pharaoh Amenhotep III. She was the mother of Akhenaten and grandmother of Tutankhamun. Her mummy was identified as "The Elder Lady" found in the tomb of Amenhotep II (KV35) in 2010</w:t>
      </w:r>
      <w:r w:rsidR="003E5671">
        <w:t xml:space="preserve"> (Dodson 2010: 27-29)</w:t>
      </w:r>
      <w:r w:rsidRPr="002D5C15">
        <w:t>.</w:t>
      </w:r>
    </w:p>
    <w:p w:rsidR="003E5671" w:rsidRPr="002D5C15" w:rsidRDefault="003E5671" w:rsidP="00886A01">
      <w:proofErr w:type="gramStart"/>
      <w:r>
        <w:t>through</w:t>
      </w:r>
      <w:proofErr w:type="gramEnd"/>
      <w:r>
        <w:t xml:space="preserve"> her. She continued to play an active role in foreign relations and was the first Egyptian queen to have her name recorded on official acts</w:t>
      </w:r>
      <w:r w:rsidR="000E3685">
        <w:t xml:space="preserve"> (</w:t>
      </w:r>
      <w:proofErr w:type="spellStart"/>
      <w:r w:rsidR="000E3685" w:rsidRPr="000E3685">
        <w:rPr>
          <w:rStyle w:val="reference-text"/>
        </w:rPr>
        <w:t>Tyldesley</w:t>
      </w:r>
      <w:proofErr w:type="spellEnd"/>
      <w:r w:rsidR="000E3685" w:rsidRPr="000E3685">
        <w:rPr>
          <w:rStyle w:val="reference-text"/>
        </w:rPr>
        <w:t xml:space="preserve"> 2006</w:t>
      </w:r>
      <w:r w:rsidR="000E3685">
        <w:rPr>
          <w:rStyle w:val="reference-text"/>
        </w:rPr>
        <w:t>:118.).</w:t>
      </w:r>
    </w:p>
    <w:p w:rsidR="00886A01" w:rsidRDefault="00886A01" w:rsidP="00886A01">
      <w:r>
        <w:rPr>
          <w:rStyle w:val="Strong"/>
        </w:rPr>
        <w:t>Accession Number:</w:t>
      </w:r>
      <w:r>
        <w:t xml:space="preserve"> </w:t>
      </w:r>
    </w:p>
    <w:p w:rsidR="00886A01" w:rsidRPr="00EB5DE2" w:rsidRDefault="00886A01" w:rsidP="00886A01">
      <w:pPr>
        <w:rPr>
          <w:b/>
          <w:bCs/>
        </w:rPr>
      </w:pPr>
      <w:r w:rsidRPr="00EB5DE2">
        <w:rPr>
          <w:b/>
          <w:bCs/>
        </w:rPr>
        <w:lastRenderedPageBreak/>
        <w:t>LC Classification:</w:t>
      </w:r>
      <w:r>
        <w:rPr>
          <w:b/>
          <w:bCs/>
        </w:rPr>
        <w:t xml:space="preserve"> </w:t>
      </w:r>
    </w:p>
    <w:p w:rsidR="00886A01" w:rsidRDefault="00886A01" w:rsidP="00886A01">
      <w:r>
        <w:rPr>
          <w:rStyle w:val="Strong"/>
        </w:rPr>
        <w:t>Date or Time Horizon:</w:t>
      </w:r>
      <w:r>
        <w:t xml:space="preserve"> </w:t>
      </w:r>
      <w:r w:rsidR="002D5C15">
        <w:t xml:space="preserve">Dynasty 18, </w:t>
      </w:r>
      <w:r w:rsidR="002D5C15" w:rsidRPr="00886A01">
        <w:t>ca.1355</w:t>
      </w:r>
    </w:p>
    <w:p w:rsidR="00886A01" w:rsidRDefault="00886A01" w:rsidP="00886A01">
      <w:r>
        <w:rPr>
          <w:rStyle w:val="Strong"/>
        </w:rPr>
        <w:t>Geographical Area:</w:t>
      </w:r>
      <w:r>
        <w:t xml:space="preserve"> </w:t>
      </w:r>
      <w:r w:rsidR="000E3685">
        <w:t>Amarna</w:t>
      </w:r>
    </w:p>
    <w:p w:rsidR="00886A01" w:rsidRDefault="00886A01" w:rsidP="00886A01">
      <w:pPr>
        <w:rPr>
          <w:b/>
        </w:rPr>
      </w:pPr>
      <w:r w:rsidRPr="0011252F">
        <w:rPr>
          <w:b/>
        </w:rPr>
        <w:t>Map</w:t>
      </w:r>
      <w:r>
        <w:rPr>
          <w:b/>
        </w:rPr>
        <w:t>:</w:t>
      </w:r>
    </w:p>
    <w:p w:rsidR="00F775CD" w:rsidRDefault="00F775CD" w:rsidP="00886A01">
      <w:pPr>
        <w:rPr>
          <w:b/>
        </w:rPr>
      </w:pPr>
      <w:r>
        <w:rPr>
          <w:noProof/>
        </w:rPr>
        <w:drawing>
          <wp:inline distT="0" distB="0" distL="0" distR="0" wp14:anchorId="03600BC1" wp14:editId="1DB3AF65">
            <wp:extent cx="2962275" cy="2952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275" cy="2952750"/>
                    </a:xfrm>
                    <a:prstGeom prst="rect">
                      <a:avLst/>
                    </a:prstGeom>
                  </pic:spPr>
                </pic:pic>
              </a:graphicData>
            </a:graphic>
          </wp:inline>
        </w:drawing>
      </w:r>
    </w:p>
    <w:p w:rsidR="00F775CD" w:rsidRDefault="00275540" w:rsidP="00886A01">
      <w:pPr>
        <w:rPr>
          <w:b/>
        </w:rPr>
      </w:pPr>
      <w:r>
        <w:rPr>
          <w:b/>
        </w:rPr>
        <w:t xml:space="preserve">Location d El Amarna, </w:t>
      </w:r>
      <w:proofErr w:type="spellStart"/>
      <w:r>
        <w:rPr>
          <w:b/>
        </w:rPr>
        <w:t>Egypy</w:t>
      </w:r>
      <w:proofErr w:type="spellEnd"/>
      <w:r>
        <w:rPr>
          <w:b/>
        </w:rPr>
        <w:t xml:space="preserve"> after </w:t>
      </w:r>
      <w:r w:rsidRPr="00275540">
        <w:rPr>
          <w:b/>
        </w:rPr>
        <w:t>https://upload.wikimedia.org/wikipedia/commons/thumb/e/e7/Egypt_adm_location_map.svg/375px-Egypt_adm_location_map.svg.png</w:t>
      </w:r>
    </w:p>
    <w:p w:rsidR="00F775CD" w:rsidRDefault="00886A01" w:rsidP="00886A01">
      <w:pPr>
        <w:rPr>
          <w:rStyle w:val="Strong"/>
        </w:rPr>
      </w:pPr>
      <w:r w:rsidRPr="0011252F">
        <w:rPr>
          <w:b/>
        </w:rPr>
        <w:t>GPS coordinates:</w:t>
      </w:r>
      <w:r w:rsidR="000E3685">
        <w:rPr>
          <w:b/>
        </w:rPr>
        <w:t xml:space="preserve">  </w:t>
      </w:r>
      <w:hyperlink r:id="rId10" w:history="1">
        <w:r w:rsidR="00F775CD">
          <w:rPr>
            <w:rStyle w:val="latitude"/>
            <w:rFonts w:ascii="Arial" w:hAnsi="Arial" w:cs="Arial"/>
            <w:color w:val="663366"/>
            <w:sz w:val="18"/>
            <w:szCs w:val="18"/>
            <w:shd w:val="clear" w:color="auto" w:fill="F8F9FA"/>
          </w:rPr>
          <w:t>27°38′42.71″N</w:t>
        </w:r>
        <w:r w:rsidR="00F775CD">
          <w:rPr>
            <w:rStyle w:val="longitude"/>
            <w:rFonts w:ascii="Arial" w:hAnsi="Arial" w:cs="Arial"/>
            <w:color w:val="663366"/>
            <w:sz w:val="18"/>
            <w:szCs w:val="18"/>
            <w:shd w:val="clear" w:color="auto" w:fill="F8F9FA"/>
          </w:rPr>
          <w:t>30°53′47.34″E</w:t>
        </w:r>
      </w:hyperlink>
      <w:r w:rsidR="00F775CD">
        <w:rPr>
          <w:rStyle w:val="Strong"/>
        </w:rPr>
        <w:t xml:space="preserve"> </w:t>
      </w:r>
    </w:p>
    <w:p w:rsidR="00886A01" w:rsidRDefault="00886A01" w:rsidP="00886A01">
      <w:r>
        <w:rPr>
          <w:rStyle w:val="Strong"/>
        </w:rPr>
        <w:t>Cultural Affiliation:</w:t>
      </w:r>
      <w:r>
        <w:t xml:space="preserve"> </w:t>
      </w:r>
      <w:r w:rsidR="002D5C15">
        <w:t>New Kingdom, Egypt</w:t>
      </w:r>
    </w:p>
    <w:p w:rsidR="00886A01" w:rsidRDefault="00886A01" w:rsidP="00886A01">
      <w:r>
        <w:rPr>
          <w:rStyle w:val="Strong"/>
        </w:rPr>
        <w:t>Medi</w:t>
      </w:r>
      <w:r w:rsidR="002D5C15">
        <w:rPr>
          <w:rStyle w:val="Strong"/>
        </w:rPr>
        <w:t>um</w:t>
      </w:r>
      <w:r>
        <w:rPr>
          <w:rStyle w:val="Strong"/>
        </w:rPr>
        <w:t>:</w:t>
      </w:r>
      <w:r>
        <w:t xml:space="preserve"> </w:t>
      </w:r>
      <w:r w:rsidR="002D5C15">
        <w:t>terracotta</w:t>
      </w:r>
    </w:p>
    <w:p w:rsidR="00886A01" w:rsidRDefault="00886A01" w:rsidP="00886A01">
      <w:pPr>
        <w:rPr>
          <w:b/>
          <w:bCs/>
        </w:rPr>
      </w:pPr>
      <w:r>
        <w:rPr>
          <w:rStyle w:val="Strong"/>
        </w:rPr>
        <w:t>Dimensions:</w:t>
      </w:r>
      <w:r>
        <w:t xml:space="preserve"> </w:t>
      </w:r>
      <w:r w:rsidRPr="003E5671">
        <w:t>12.5 x 7 x 6 cm   (5" x 2.75" x 2.4" Inches).</w:t>
      </w:r>
    </w:p>
    <w:p w:rsidR="00886A01" w:rsidRDefault="00886A01" w:rsidP="00886A01">
      <w:pPr>
        <w:rPr>
          <w:rStyle w:val="Strong"/>
        </w:rPr>
      </w:pPr>
      <w:r>
        <w:rPr>
          <w:rStyle w:val="Strong"/>
        </w:rPr>
        <w:t xml:space="preserve">Weight:  </w:t>
      </w:r>
      <w:r w:rsidRPr="003E5671">
        <w:t>375 grams</w:t>
      </w:r>
      <w:r>
        <w:rPr>
          <w:rFonts w:ascii="Arial" w:hAnsi="Arial" w:cs="Arial"/>
          <w:color w:val="000000"/>
          <w:sz w:val="27"/>
          <w:szCs w:val="27"/>
        </w:rPr>
        <w:t> </w:t>
      </w:r>
    </w:p>
    <w:p w:rsidR="00886A01" w:rsidRDefault="00886A01" w:rsidP="00886A01">
      <w:pPr>
        <w:rPr>
          <w:rStyle w:val="Strong"/>
        </w:rPr>
      </w:pPr>
      <w:r>
        <w:rPr>
          <w:rStyle w:val="Strong"/>
        </w:rPr>
        <w:t>Condition:</w:t>
      </w:r>
      <w:r w:rsidR="002D5C15">
        <w:rPr>
          <w:rStyle w:val="Strong"/>
        </w:rPr>
        <w:t xml:space="preserve"> original</w:t>
      </w:r>
    </w:p>
    <w:p w:rsidR="00886A01" w:rsidRDefault="00886A01" w:rsidP="00886A01">
      <w:pPr>
        <w:rPr>
          <w:b/>
          <w:bCs/>
        </w:rPr>
      </w:pPr>
      <w:r>
        <w:rPr>
          <w:rStyle w:val="Strong"/>
        </w:rPr>
        <w:t>Provenance:</w:t>
      </w:r>
      <w:r>
        <w:t xml:space="preserve"> </w:t>
      </w:r>
    </w:p>
    <w:p w:rsidR="00886A01" w:rsidRDefault="00886A01" w:rsidP="00886A01">
      <w:pPr>
        <w:rPr>
          <w:b/>
          <w:bCs/>
        </w:rPr>
      </w:pPr>
      <w:r>
        <w:rPr>
          <w:b/>
          <w:bCs/>
        </w:rPr>
        <w:t>Discussion:</w:t>
      </w:r>
    </w:p>
    <w:p w:rsidR="00967E76" w:rsidRDefault="00967E76" w:rsidP="00886A01">
      <w:pPr>
        <w:rPr>
          <w:b/>
          <w:bCs/>
        </w:rPr>
      </w:pPr>
      <w:r>
        <w:t xml:space="preserve">Since the royal women of Ancient Egypt carried the royal lineage, marriage to one could be a path to the throne for their progeny. </w:t>
      </w:r>
      <w:proofErr w:type="spellStart"/>
      <w:r>
        <w:t>Tiye</w:t>
      </w:r>
      <w:proofErr w:type="spellEnd"/>
      <w:r>
        <w:t xml:space="preserve"> became her husband’s trusted adviser and confidant. Being wise, intelligent, strong, and fierce, she was able to gain the respect of foreign dignitaries. Foreign leaders were willing to deal directly</w:t>
      </w:r>
    </w:p>
    <w:p w:rsidR="00886A01" w:rsidRDefault="00886A01" w:rsidP="00886A01">
      <w:r>
        <w:rPr>
          <w:b/>
          <w:bCs/>
        </w:rPr>
        <w:t>References:</w:t>
      </w:r>
    </w:p>
    <w:p w:rsidR="00886A01" w:rsidRDefault="003E5671" w:rsidP="000E3685">
      <w:r w:rsidRPr="000E3685">
        <w:t xml:space="preserve">Dodson, </w:t>
      </w:r>
      <w:r w:rsidR="000E3685">
        <w:t>Aidan.</w:t>
      </w:r>
      <w:r w:rsidRPr="000E3685">
        <w:t xml:space="preserve"> 2010. </w:t>
      </w:r>
      <w:r w:rsidRPr="000E3685">
        <w:rPr>
          <w:i/>
        </w:rPr>
        <w:t xml:space="preserve">Amarna Sunset: Nefertiti, Tutankhamun, Ay, </w:t>
      </w:r>
      <w:proofErr w:type="spellStart"/>
      <w:r w:rsidRPr="000E3685">
        <w:rPr>
          <w:i/>
        </w:rPr>
        <w:t>Horemhab</w:t>
      </w:r>
      <w:proofErr w:type="spellEnd"/>
      <w:r w:rsidRPr="000E3685">
        <w:rPr>
          <w:i/>
        </w:rPr>
        <w:t xml:space="preserve"> and the Egyptian Counter-refo</w:t>
      </w:r>
      <w:r w:rsidR="000E3685" w:rsidRPr="000E3685">
        <w:rPr>
          <w:i/>
        </w:rPr>
        <w:t>rmation</w:t>
      </w:r>
      <w:r w:rsidR="000E3685">
        <w:t xml:space="preserve">. </w:t>
      </w:r>
      <w:r w:rsidRPr="000E3685">
        <w:t>Cairo: AUC Press.</w:t>
      </w:r>
    </w:p>
    <w:p w:rsidR="00F775CD" w:rsidRPr="00F775CD" w:rsidRDefault="00F775CD" w:rsidP="00F775CD">
      <w:r w:rsidRPr="00F775CD">
        <w:t>Kemp, B. &amp; </w:t>
      </w:r>
      <w:proofErr w:type="spellStart"/>
      <w:r w:rsidRPr="00F775CD">
        <w:t>Garfi</w:t>
      </w:r>
      <w:proofErr w:type="spellEnd"/>
      <w:r w:rsidRPr="00F775CD">
        <w:t>, </w:t>
      </w:r>
      <w:proofErr w:type="gramStart"/>
      <w:r w:rsidRPr="00F775CD">
        <w:t>S.. </w:t>
      </w:r>
      <w:proofErr w:type="gramEnd"/>
      <w:r w:rsidRPr="00F775CD">
        <w:t>1993. </w:t>
      </w:r>
      <w:r w:rsidRPr="00F775CD">
        <w:rPr>
          <w:i/>
        </w:rPr>
        <w:t>A survey of the Ancient City of El-‘Amarna</w:t>
      </w:r>
      <w:r w:rsidRPr="00F775CD">
        <w:t>. London: Egypt Exploration Society Occasional Publications 9.</w:t>
      </w:r>
    </w:p>
    <w:p w:rsidR="00886A01" w:rsidRPr="000E3685" w:rsidRDefault="003E5671" w:rsidP="000E3685">
      <w:proofErr w:type="spellStart"/>
      <w:r w:rsidRPr="000E3685">
        <w:lastRenderedPageBreak/>
        <w:t>Tyldesley</w:t>
      </w:r>
      <w:proofErr w:type="spellEnd"/>
      <w:r w:rsidRPr="000E3685">
        <w:t>, Joyce</w:t>
      </w:r>
      <w:r w:rsidR="000E3685">
        <w:t xml:space="preserve">. </w:t>
      </w:r>
      <w:r w:rsidRPr="000E3685">
        <w:t>20</w:t>
      </w:r>
      <w:r w:rsidR="000E3685">
        <w:t>06</w:t>
      </w:r>
      <w:r w:rsidRPr="000E3685">
        <w:t xml:space="preserve">. </w:t>
      </w:r>
      <w:r w:rsidRPr="000E3685">
        <w:rPr>
          <w:i/>
        </w:rPr>
        <w:t>Chronicle of the Queens of Egypt</w:t>
      </w:r>
      <w:r w:rsidRPr="000E3685">
        <w:t>. London: Thames &amp; Hudson.</w:t>
      </w:r>
    </w:p>
    <w:sectPr w:rsidR="00886A01" w:rsidRPr="000E3685" w:rsidSect="00886A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A01"/>
    <w:rsid w:val="000E3685"/>
    <w:rsid w:val="00151F1C"/>
    <w:rsid w:val="001D1906"/>
    <w:rsid w:val="00275540"/>
    <w:rsid w:val="002D5C15"/>
    <w:rsid w:val="003E5671"/>
    <w:rsid w:val="00886A01"/>
    <w:rsid w:val="00967E76"/>
    <w:rsid w:val="00D36834"/>
    <w:rsid w:val="00F775CD"/>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0C945-9EF5-47C4-AE76-925A28B4B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86A01"/>
    <w:rPr>
      <w:i/>
      <w:iCs/>
    </w:rPr>
  </w:style>
  <w:style w:type="paragraph" w:styleId="NormalWeb">
    <w:name w:val="Normal (Web)"/>
    <w:basedOn w:val="Normal"/>
    <w:uiPriority w:val="99"/>
    <w:semiHidden/>
    <w:unhideWhenUsed/>
    <w:rsid w:val="00886A01"/>
    <w:pPr>
      <w:spacing w:before="100" w:beforeAutospacing="1" w:after="100" w:afterAutospacing="1" w:line="240" w:lineRule="auto"/>
    </w:pPr>
    <w:rPr>
      <w:rFonts w:eastAsia="Times New Roman"/>
      <w:color w:val="auto"/>
    </w:rPr>
  </w:style>
  <w:style w:type="character" w:styleId="Strong">
    <w:name w:val="Strong"/>
    <w:qFormat/>
    <w:rsid w:val="00886A01"/>
    <w:rPr>
      <w:b/>
      <w:bCs/>
    </w:rPr>
  </w:style>
  <w:style w:type="character" w:styleId="Hyperlink">
    <w:name w:val="Hyperlink"/>
    <w:basedOn w:val="DefaultParagraphFont"/>
    <w:uiPriority w:val="99"/>
    <w:semiHidden/>
    <w:unhideWhenUsed/>
    <w:rsid w:val="002D5C15"/>
    <w:rPr>
      <w:color w:val="0000FF"/>
      <w:u w:val="single"/>
    </w:rPr>
  </w:style>
  <w:style w:type="character" w:styleId="FollowedHyperlink">
    <w:name w:val="FollowedHyperlink"/>
    <w:basedOn w:val="DefaultParagraphFont"/>
    <w:uiPriority w:val="99"/>
    <w:semiHidden/>
    <w:unhideWhenUsed/>
    <w:rsid w:val="003E5671"/>
    <w:rPr>
      <w:color w:val="954F72" w:themeColor="followedHyperlink"/>
      <w:u w:val="single"/>
    </w:rPr>
  </w:style>
  <w:style w:type="character" w:styleId="HTMLCite">
    <w:name w:val="HTML Cite"/>
    <w:basedOn w:val="DefaultParagraphFont"/>
    <w:uiPriority w:val="99"/>
    <w:semiHidden/>
    <w:unhideWhenUsed/>
    <w:rsid w:val="003E5671"/>
    <w:rPr>
      <w:i/>
      <w:iCs/>
    </w:rPr>
  </w:style>
  <w:style w:type="character" w:customStyle="1" w:styleId="reference-text">
    <w:name w:val="reference-text"/>
    <w:basedOn w:val="DefaultParagraphFont"/>
    <w:rsid w:val="000E3685"/>
  </w:style>
  <w:style w:type="character" w:customStyle="1" w:styleId="name">
    <w:name w:val="name"/>
    <w:basedOn w:val="DefaultParagraphFont"/>
    <w:rsid w:val="00F775CD"/>
  </w:style>
  <w:style w:type="character" w:customStyle="1" w:styleId="surname">
    <w:name w:val="surname"/>
    <w:basedOn w:val="DefaultParagraphFont"/>
    <w:rsid w:val="00F775CD"/>
  </w:style>
  <w:style w:type="character" w:customStyle="1" w:styleId="given-names">
    <w:name w:val="given-names"/>
    <w:basedOn w:val="DefaultParagraphFont"/>
    <w:rsid w:val="00F775CD"/>
  </w:style>
  <w:style w:type="character" w:customStyle="1" w:styleId="year">
    <w:name w:val="year"/>
    <w:basedOn w:val="DefaultParagraphFont"/>
    <w:rsid w:val="00F775CD"/>
  </w:style>
  <w:style w:type="character" w:customStyle="1" w:styleId="source">
    <w:name w:val="source"/>
    <w:basedOn w:val="DefaultParagraphFont"/>
    <w:rsid w:val="00F775CD"/>
  </w:style>
  <w:style w:type="character" w:customStyle="1" w:styleId="publisher-loc">
    <w:name w:val="publisher-loc"/>
    <w:basedOn w:val="DefaultParagraphFont"/>
    <w:rsid w:val="00F775CD"/>
  </w:style>
  <w:style w:type="character" w:customStyle="1" w:styleId="publisher-name">
    <w:name w:val="publisher-name"/>
    <w:basedOn w:val="DefaultParagraphFont"/>
    <w:rsid w:val="00F775CD"/>
  </w:style>
  <w:style w:type="character" w:customStyle="1" w:styleId="latitude">
    <w:name w:val="latitude"/>
    <w:basedOn w:val="DefaultParagraphFont"/>
    <w:rsid w:val="00F775CD"/>
  </w:style>
  <w:style w:type="character" w:customStyle="1" w:styleId="longitude">
    <w:name w:val="longitude"/>
    <w:basedOn w:val="DefaultParagraphFont"/>
    <w:rsid w:val="00F77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114039">
      <w:bodyDiv w:val="1"/>
      <w:marLeft w:val="0"/>
      <w:marRight w:val="0"/>
      <w:marTop w:val="0"/>
      <w:marBottom w:val="0"/>
      <w:divBdr>
        <w:top w:val="none" w:sz="0" w:space="0" w:color="auto"/>
        <w:left w:val="none" w:sz="0" w:space="0" w:color="auto"/>
        <w:bottom w:val="none" w:sz="0" w:space="0" w:color="auto"/>
        <w:right w:val="none" w:sz="0" w:space="0" w:color="auto"/>
      </w:divBdr>
    </w:div>
    <w:div w:id="706569941">
      <w:bodyDiv w:val="1"/>
      <w:marLeft w:val="0"/>
      <w:marRight w:val="0"/>
      <w:marTop w:val="0"/>
      <w:marBottom w:val="0"/>
      <w:divBdr>
        <w:top w:val="none" w:sz="0" w:space="0" w:color="auto"/>
        <w:left w:val="none" w:sz="0" w:space="0" w:color="auto"/>
        <w:bottom w:val="none" w:sz="0" w:space="0" w:color="auto"/>
        <w:right w:val="none" w:sz="0" w:space="0" w:color="auto"/>
      </w:divBdr>
    </w:div>
    <w:div w:id="102343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_(god)"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tools.wmflabs.org/geohack/geohack.php?pagename=Amarna&amp;params=27_38_42.71_N_30_53_47.34_E_type:landmark" TargetMode="Externa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2018-07-26T11:15:00Z</dcterms:created>
  <dcterms:modified xsi:type="dcterms:W3CDTF">2018-07-26T11:15:00Z</dcterms:modified>
</cp:coreProperties>
</file>