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247" w:rsidRPr="00D45666" w:rsidRDefault="001C3247" w:rsidP="001C3247">
      <w:pPr>
        <w:spacing w:before="100" w:beforeAutospacing="1"/>
        <w:outlineLvl w:val="0"/>
        <w:rPr>
          <w:rStyle w:val="Strong"/>
          <w:rFonts w:eastAsia="Times New Roman" w:cs="Times New Roman"/>
          <w:color w:val="auto"/>
          <w:kern w:val="36"/>
          <w:szCs w:val="24"/>
        </w:rPr>
      </w:pPr>
      <w:bookmarkStart w:id="0" w:name="_GoBack"/>
      <w:bookmarkEnd w:id="0"/>
      <w:r>
        <w:t>A</w:t>
      </w:r>
      <w:r w:rsidR="00A9773B">
        <w:t>246</w:t>
      </w:r>
      <w:r>
        <w:t>-Afr-Egy-</w:t>
      </w:r>
      <w:r w:rsidRPr="00D45666">
        <w:rPr>
          <w:rFonts w:eastAsia="Times New Roman" w:cs="Times New Roman"/>
          <w:bCs/>
          <w:color w:val="auto"/>
          <w:kern w:val="36"/>
          <w:szCs w:val="24"/>
        </w:rPr>
        <w:t>Ushabti</w:t>
      </w:r>
      <w:r>
        <w:rPr>
          <w:rFonts w:eastAsia="Times New Roman" w:cs="Times New Roman"/>
          <w:bCs/>
          <w:color w:val="auto"/>
          <w:kern w:val="36"/>
          <w:szCs w:val="24"/>
        </w:rPr>
        <w:t xml:space="preserve">, </w:t>
      </w:r>
      <w:r w:rsidRPr="00D45666">
        <w:rPr>
          <w:rFonts w:eastAsia="Times New Roman" w:cs="Times New Roman"/>
          <w:bCs/>
          <w:color w:val="auto"/>
          <w:kern w:val="36"/>
          <w:szCs w:val="24"/>
        </w:rPr>
        <w:t xml:space="preserve">Ptolemaic </w:t>
      </w:r>
      <w:r>
        <w:rPr>
          <w:rFonts w:eastAsia="Times New Roman" w:cs="Times New Roman"/>
          <w:bCs/>
          <w:color w:val="auto"/>
          <w:kern w:val="36"/>
          <w:szCs w:val="24"/>
        </w:rPr>
        <w:t xml:space="preserve">Period, </w:t>
      </w:r>
      <w:r w:rsidRPr="00D45666">
        <w:rPr>
          <w:rFonts w:eastAsia="Times New Roman" w:cs="Times New Roman"/>
          <w:bCs/>
          <w:color w:val="auto"/>
          <w:kern w:val="36"/>
          <w:szCs w:val="24"/>
        </w:rPr>
        <w:t>300-350 BCE</w:t>
      </w:r>
      <w:r>
        <w:rPr>
          <w:rFonts w:eastAsia="Times New Roman" w:cs="Times New Roman"/>
          <w:bCs/>
          <w:color w:val="auto"/>
          <w:kern w:val="36"/>
          <w:szCs w:val="24"/>
        </w:rPr>
        <w:t>-</w:t>
      </w:r>
      <w:r w:rsidR="007422A3">
        <w:rPr>
          <w:rFonts w:eastAsia="Times New Roman" w:cs="Times New Roman"/>
          <w:bCs/>
          <w:color w:val="auto"/>
          <w:kern w:val="36"/>
          <w:szCs w:val="24"/>
        </w:rPr>
        <w:t>Hieroglyphics</w:t>
      </w:r>
      <w:r>
        <w:rPr>
          <w:rFonts w:eastAsia="Times New Roman" w:cs="Times New Roman"/>
          <w:bCs/>
          <w:color w:val="auto"/>
          <w:kern w:val="36"/>
          <w:szCs w:val="24"/>
        </w:rPr>
        <w:t>-</w:t>
      </w:r>
      <w:r w:rsidRPr="00D45666">
        <w:rPr>
          <w:rFonts w:eastAsia="Times New Roman" w:cs="Times New Roman"/>
          <w:bCs/>
          <w:color w:val="auto"/>
          <w:kern w:val="36"/>
          <w:szCs w:val="24"/>
        </w:rPr>
        <w:t>Blue Faïence</w:t>
      </w:r>
    </w:p>
    <w:p w:rsidR="001C3247" w:rsidRDefault="002C42BD" w:rsidP="001C3247">
      <w:pPr>
        <w:spacing w:before="100" w:beforeAutospacing="1"/>
        <w:outlineLvl w:val="0"/>
      </w:pPr>
      <w:r>
        <w:rPr>
          <w:noProof/>
        </w:rPr>
        <w:drawing>
          <wp:inline distT="0" distB="0" distL="0" distR="0" wp14:anchorId="7AC60758" wp14:editId="066F609C">
            <wp:extent cx="1562100" cy="477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61000"/>
                              </a14:imgEffect>
                            </a14:imgLayer>
                          </a14:imgProps>
                        </a:ext>
                      </a:extLst>
                    </a:blip>
                    <a:stretch>
                      <a:fillRect/>
                    </a:stretch>
                  </pic:blipFill>
                  <pic:spPr>
                    <a:xfrm>
                      <a:off x="0" y="0"/>
                      <a:ext cx="1562100" cy="4772025"/>
                    </a:xfrm>
                    <a:prstGeom prst="rect">
                      <a:avLst/>
                    </a:prstGeom>
                  </pic:spPr>
                </pic:pic>
              </a:graphicData>
            </a:graphic>
          </wp:inline>
        </w:drawing>
      </w:r>
      <w:r>
        <w:rPr>
          <w:noProof/>
        </w:rPr>
        <w:t xml:space="preserve"> </w:t>
      </w:r>
      <w:r w:rsidR="006C7DB9" w:rsidRPr="006C7DB9">
        <w:rPr>
          <w:noProof/>
        </w:rPr>
        <w:t xml:space="preserve"> </w:t>
      </w:r>
      <w:r w:rsidR="00A9773B">
        <w:rPr>
          <w:noProof/>
        </w:rPr>
        <w:drawing>
          <wp:inline distT="0" distB="0" distL="0" distR="0" wp14:anchorId="15D7750B" wp14:editId="1CE30590">
            <wp:extent cx="16383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60000"/>
                              </a14:imgEffect>
                            </a14:imgLayer>
                          </a14:imgProps>
                        </a:ext>
                      </a:extLst>
                    </a:blip>
                    <a:stretch>
                      <a:fillRect/>
                    </a:stretch>
                  </pic:blipFill>
                  <pic:spPr>
                    <a:xfrm>
                      <a:off x="0" y="0"/>
                      <a:ext cx="1638300" cy="4829175"/>
                    </a:xfrm>
                    <a:prstGeom prst="rect">
                      <a:avLst/>
                    </a:prstGeom>
                  </pic:spPr>
                </pic:pic>
              </a:graphicData>
            </a:graphic>
          </wp:inline>
        </w:drawing>
      </w:r>
    </w:p>
    <w:p w:rsidR="001C3247" w:rsidRPr="00D45666" w:rsidRDefault="001C3247" w:rsidP="001C3247">
      <w:pPr>
        <w:spacing w:before="100" w:beforeAutospacing="1"/>
        <w:outlineLvl w:val="0"/>
        <w:rPr>
          <w:rStyle w:val="Strong"/>
          <w:rFonts w:eastAsia="Times New Roman" w:cs="Times New Roman"/>
          <w:color w:val="auto"/>
          <w:kern w:val="36"/>
          <w:szCs w:val="24"/>
        </w:rPr>
      </w:pPr>
      <w:r>
        <w:rPr>
          <w:rStyle w:val="Strong"/>
        </w:rPr>
        <w:t xml:space="preserve">Formal Label: </w:t>
      </w:r>
      <w:r w:rsidRPr="00D45666">
        <w:rPr>
          <w:rFonts w:eastAsia="Times New Roman" w:cs="Times New Roman"/>
          <w:bCs/>
          <w:color w:val="auto"/>
          <w:kern w:val="36"/>
          <w:szCs w:val="24"/>
        </w:rPr>
        <w:t>Ushabti</w:t>
      </w:r>
      <w:r>
        <w:rPr>
          <w:rFonts w:eastAsia="Times New Roman" w:cs="Times New Roman"/>
          <w:bCs/>
          <w:color w:val="auto"/>
          <w:kern w:val="36"/>
          <w:szCs w:val="24"/>
        </w:rPr>
        <w:t xml:space="preserve">, </w:t>
      </w:r>
      <w:r w:rsidRPr="00D45666">
        <w:rPr>
          <w:rFonts w:eastAsia="Times New Roman" w:cs="Times New Roman"/>
          <w:bCs/>
          <w:color w:val="auto"/>
          <w:kern w:val="36"/>
          <w:szCs w:val="24"/>
        </w:rPr>
        <w:t xml:space="preserve">Ptolemaic </w:t>
      </w:r>
      <w:r>
        <w:rPr>
          <w:rFonts w:eastAsia="Times New Roman" w:cs="Times New Roman"/>
          <w:bCs/>
          <w:color w:val="auto"/>
          <w:kern w:val="36"/>
          <w:szCs w:val="24"/>
        </w:rPr>
        <w:t xml:space="preserve">Period, </w:t>
      </w:r>
      <w:r w:rsidRPr="00D45666">
        <w:rPr>
          <w:rFonts w:eastAsia="Times New Roman" w:cs="Times New Roman"/>
          <w:bCs/>
          <w:color w:val="auto"/>
          <w:kern w:val="36"/>
          <w:szCs w:val="24"/>
        </w:rPr>
        <w:t>300-350 BCE</w:t>
      </w:r>
      <w:r>
        <w:rPr>
          <w:rFonts w:eastAsia="Times New Roman" w:cs="Times New Roman"/>
          <w:bCs/>
          <w:color w:val="auto"/>
          <w:kern w:val="36"/>
          <w:szCs w:val="24"/>
        </w:rPr>
        <w:t>-</w:t>
      </w:r>
      <w:r w:rsidR="002C42BD">
        <w:rPr>
          <w:rFonts w:eastAsia="Times New Roman" w:cs="Times New Roman"/>
          <w:bCs/>
          <w:color w:val="auto"/>
          <w:kern w:val="36"/>
          <w:szCs w:val="24"/>
        </w:rPr>
        <w:t>Hieroglyphs</w:t>
      </w:r>
      <w:r>
        <w:rPr>
          <w:rFonts w:eastAsia="Times New Roman" w:cs="Times New Roman"/>
          <w:bCs/>
          <w:color w:val="auto"/>
          <w:kern w:val="36"/>
          <w:szCs w:val="24"/>
        </w:rPr>
        <w:t>-</w:t>
      </w:r>
      <w:r w:rsidRPr="00D45666">
        <w:rPr>
          <w:rFonts w:eastAsia="Times New Roman" w:cs="Times New Roman"/>
          <w:bCs/>
          <w:color w:val="auto"/>
          <w:kern w:val="36"/>
          <w:szCs w:val="24"/>
        </w:rPr>
        <w:t>Blue Faïence</w:t>
      </w:r>
    </w:p>
    <w:p w:rsidR="001C3247" w:rsidRDefault="001C3247" w:rsidP="001C3247">
      <w:pPr>
        <w:rPr>
          <w:rStyle w:val="Strong"/>
        </w:rPr>
      </w:pPr>
      <w:r>
        <w:rPr>
          <w:rStyle w:val="Strong"/>
        </w:rPr>
        <w:t xml:space="preserve">Accession Number: </w:t>
      </w:r>
      <w:r w:rsidRPr="00C25D8F">
        <w:rPr>
          <w:rStyle w:val="Strong"/>
          <w:b w:val="0"/>
        </w:rPr>
        <w:t>A</w:t>
      </w:r>
      <w:r w:rsidR="00C25D8F" w:rsidRPr="00C25D8F">
        <w:rPr>
          <w:rStyle w:val="Strong"/>
          <w:b w:val="0"/>
        </w:rPr>
        <w:t>2</w:t>
      </w:r>
      <w:r w:rsidR="00F51FDE">
        <w:rPr>
          <w:rStyle w:val="Strong"/>
          <w:b w:val="0"/>
        </w:rPr>
        <w:t>46</w:t>
      </w:r>
    </w:p>
    <w:p w:rsidR="001C3247" w:rsidRDefault="001C3247" w:rsidP="001C3247">
      <w:pPr>
        <w:rPr>
          <w:rStyle w:val="Strong"/>
        </w:rPr>
      </w:pPr>
      <w:r>
        <w:rPr>
          <w:rStyle w:val="Strong"/>
        </w:rPr>
        <w:t xml:space="preserve">Display Description: </w:t>
      </w:r>
      <w:r>
        <w:t xml:space="preserve">Ushabti with hands opposed and sleeved, grasping two hoes as is common for later period Ushabtis. Finely glazed surface. This Ushabti wears a </w:t>
      </w:r>
      <w:r w:rsidR="002C42BD">
        <w:t>plain lappet</w:t>
      </w:r>
      <w:r>
        <w:t xml:space="preserve"> wig. </w:t>
      </w:r>
      <w:r w:rsidR="002C42BD">
        <w:t xml:space="preserve">Its beard is plaited. </w:t>
      </w:r>
      <w:r>
        <w:t xml:space="preserve">It stands on a trapezoidal base.  </w:t>
      </w:r>
      <w:r w:rsidR="00C25D8F">
        <w:t xml:space="preserve">A hieroglyphic inscription down the front </w:t>
      </w:r>
      <w:r w:rsidR="00A9773B">
        <w:t>has five registers</w:t>
      </w:r>
      <w:r w:rsidR="00C25D8F">
        <w:t xml:space="preserve">. </w:t>
      </w:r>
      <w:r>
        <w:t xml:space="preserve">These anthropomorphic figurines represent servants of the deceased in the Hereafter and were placed with them in their internments. The </w:t>
      </w:r>
      <w:proofErr w:type="spellStart"/>
      <w:r>
        <w:t>Amduat</w:t>
      </w:r>
      <w:proofErr w:type="spellEnd"/>
      <w:r>
        <w:t xml:space="preserve"> [underworld] included tracts of land that were mythically granted to the deceased by the Sun God, Re / </w:t>
      </w:r>
      <w:r w:rsidRPr="005C2DD9">
        <w:t>Ra</w:t>
      </w:r>
      <w:r>
        <w:t>, which the Ushabtis were charged with managing. Many tomb frescoes show servants planting fields or fishing in the reeds along the Nile, and these same servants are the ones depicted as Ushabtis. Nobles and royalty were interred with as many of these Ushabti figurines that they felt were necessary so that they would not have to do any manual labor in the Hereafter. Thus, increasingly throughout the Ptolemaic Period, there were proliferations of Ushabtis in grave sites, as patrons sought to out-do their neighbors. Th</w:t>
      </w:r>
      <w:r w:rsidR="00C25D8F">
        <w:t xml:space="preserve">is may explain why this </w:t>
      </w:r>
      <w:proofErr w:type="spellStart"/>
      <w:r w:rsidR="00C25D8F">
        <w:t>Ushabti’s</w:t>
      </w:r>
      <w:proofErr w:type="spellEnd"/>
      <w:r w:rsidR="00C25D8F">
        <w:t xml:space="preserve"> </w:t>
      </w:r>
      <w:r>
        <w:t xml:space="preserve">hieroglyphs </w:t>
      </w:r>
      <w:r w:rsidR="00C25D8F">
        <w:t>are somewhat garbled</w:t>
      </w:r>
      <w:r>
        <w:t xml:space="preserve"> from the </w:t>
      </w:r>
      <w:r w:rsidR="00C25D8F" w:rsidRPr="00C25D8F">
        <w:rPr>
          <w:i/>
        </w:rPr>
        <w:t>B</w:t>
      </w:r>
      <w:r w:rsidRPr="00C25D8F">
        <w:rPr>
          <w:i/>
        </w:rPr>
        <w:t>ook of the</w:t>
      </w:r>
      <w:r w:rsidR="00C25D8F" w:rsidRPr="00C25D8F">
        <w:rPr>
          <w:i/>
        </w:rPr>
        <w:t xml:space="preserve"> D</w:t>
      </w:r>
      <w:r w:rsidRPr="00C25D8F">
        <w:rPr>
          <w:i/>
        </w:rPr>
        <w:t>ead</w:t>
      </w:r>
      <w:r>
        <w:t>, for by this late time it</w:t>
      </w:r>
      <w:r w:rsidR="007422A3">
        <w:t>s</w:t>
      </w:r>
      <w:r>
        <w:t xml:space="preserve"> </w:t>
      </w:r>
      <w:r w:rsidR="007422A3">
        <w:t>hieroglyphs were not well-</w:t>
      </w:r>
      <w:r>
        <w:t>understood.</w:t>
      </w:r>
    </w:p>
    <w:p w:rsidR="001C3247" w:rsidRPr="005C2DD9" w:rsidRDefault="001C3247" w:rsidP="001C3247">
      <w:r>
        <w:rPr>
          <w:rStyle w:val="Strong"/>
        </w:rPr>
        <w:t>LC Classification:</w:t>
      </w:r>
      <w:r>
        <w:t xml:space="preserve"> </w:t>
      </w:r>
      <w:r w:rsidRPr="005C2DD9">
        <w:rPr>
          <w:rStyle w:val="exlavailabilitycallnumber"/>
          <w:iCs/>
        </w:rPr>
        <w:t>DT62</w:t>
      </w:r>
    </w:p>
    <w:p w:rsidR="001C3247" w:rsidRDefault="001C3247" w:rsidP="001C3247">
      <w:r>
        <w:rPr>
          <w:rStyle w:val="Strong"/>
        </w:rPr>
        <w:t>Date or Time Horizon:</w:t>
      </w:r>
      <w:r>
        <w:t xml:space="preserve"> 350-300 BCE</w:t>
      </w:r>
    </w:p>
    <w:p w:rsidR="001C3247" w:rsidRDefault="001C3247" w:rsidP="001C3247">
      <w:r>
        <w:rPr>
          <w:rStyle w:val="Strong"/>
        </w:rPr>
        <w:t>Geographical Area:</w:t>
      </w:r>
      <w:r w:rsidR="006C7DB9">
        <w:rPr>
          <w:rStyle w:val="Strong"/>
        </w:rPr>
        <w:t xml:space="preserve"> </w:t>
      </w:r>
      <w:r w:rsidR="006C7DB9" w:rsidRPr="006C7DB9">
        <w:rPr>
          <w:rStyle w:val="Strong"/>
          <w:b w:val="0"/>
        </w:rPr>
        <w:t>Valley of the Kings</w:t>
      </w:r>
      <w:r w:rsidR="006C7DB9">
        <w:rPr>
          <w:rStyle w:val="Strong"/>
        </w:rPr>
        <w:t xml:space="preserve">, </w:t>
      </w:r>
      <w:r>
        <w:t>Luxor, Upper Egypt</w:t>
      </w:r>
    </w:p>
    <w:p w:rsidR="001C3247" w:rsidRDefault="001C3247" w:rsidP="001C3247">
      <w:r w:rsidRPr="00C36BCF">
        <w:rPr>
          <w:b/>
        </w:rPr>
        <w:t>Map, GPS Coordinates</w:t>
      </w:r>
      <w:r>
        <w:t xml:space="preserve">: </w:t>
      </w:r>
      <w:r w:rsidRPr="001C3247">
        <w:t>25.74017 32.60141</w:t>
      </w:r>
      <w:r>
        <w:t xml:space="preserve">; </w:t>
      </w:r>
      <w:r w:rsidR="006C7DB9" w:rsidRPr="006C7DB9">
        <w:t>25º44'24.6" N 32º36'5.08" E</w:t>
      </w:r>
    </w:p>
    <w:p w:rsidR="006C7DB9" w:rsidRDefault="006C7DB9" w:rsidP="001C3247">
      <w:r>
        <w:rPr>
          <w:noProof/>
        </w:rPr>
        <w:lastRenderedPageBreak/>
        <w:drawing>
          <wp:inline distT="0" distB="0" distL="0" distR="0" wp14:anchorId="0E8CED74" wp14:editId="4FF47B76">
            <wp:extent cx="4305300" cy="3126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1381" cy="3145657"/>
                    </a:xfrm>
                    <a:prstGeom prst="rect">
                      <a:avLst/>
                    </a:prstGeom>
                  </pic:spPr>
                </pic:pic>
              </a:graphicData>
            </a:graphic>
          </wp:inline>
        </w:drawing>
      </w:r>
    </w:p>
    <w:p w:rsidR="006C7DB9" w:rsidRDefault="006C7DB9" w:rsidP="001C3247"/>
    <w:p w:rsidR="001C3247" w:rsidRDefault="001C3247" w:rsidP="001C3247">
      <w:r>
        <w:rPr>
          <w:rStyle w:val="Strong"/>
        </w:rPr>
        <w:t>Cultural Affiliation:</w:t>
      </w:r>
      <w:r>
        <w:t xml:space="preserve"> Ptolemaic Period</w:t>
      </w:r>
    </w:p>
    <w:p w:rsidR="001C3247" w:rsidRPr="00D45666" w:rsidRDefault="001C3247" w:rsidP="001C3247">
      <w:r>
        <w:rPr>
          <w:rStyle w:val="Strong"/>
        </w:rPr>
        <w:t>Medium:</w:t>
      </w:r>
      <w:r>
        <w:t xml:space="preserve"> </w:t>
      </w:r>
      <w:r w:rsidRPr="00D45666">
        <w:rPr>
          <w:rFonts w:eastAsia="Times New Roman" w:cs="Times New Roman"/>
          <w:bCs/>
          <w:color w:val="auto"/>
          <w:kern w:val="36"/>
          <w:szCs w:val="24"/>
        </w:rPr>
        <w:t>Faïence</w:t>
      </w:r>
    </w:p>
    <w:p w:rsidR="001C3247" w:rsidRDefault="001C3247" w:rsidP="001C3247">
      <w:pPr>
        <w:rPr>
          <w:rStyle w:val="Strong"/>
        </w:rPr>
      </w:pPr>
      <w:r>
        <w:rPr>
          <w:rStyle w:val="Strong"/>
        </w:rPr>
        <w:t xml:space="preserve">Dimensions: </w:t>
      </w:r>
      <w:r w:rsidR="00A9773B">
        <w:rPr>
          <w:rStyle w:val="Strong"/>
        </w:rPr>
        <w:t>1</w:t>
      </w:r>
      <w:r w:rsidR="00A9773B">
        <w:rPr>
          <w:rStyle w:val="Strong"/>
          <w:b w:val="0"/>
        </w:rPr>
        <w:t xml:space="preserve">53.90 </w:t>
      </w:r>
      <w:r w:rsidRPr="001C3247">
        <w:rPr>
          <w:rStyle w:val="Strong"/>
          <w:b w:val="0"/>
        </w:rPr>
        <w:t xml:space="preserve">mm; </w:t>
      </w:r>
      <w:r w:rsidR="00A9773B">
        <w:rPr>
          <w:rStyle w:val="Strong"/>
          <w:b w:val="0"/>
        </w:rPr>
        <w:t>6.06</w:t>
      </w:r>
      <w:r w:rsidRPr="001C3247">
        <w:rPr>
          <w:rStyle w:val="Strong"/>
          <w:b w:val="0"/>
        </w:rPr>
        <w:t xml:space="preserve"> in</w:t>
      </w:r>
      <w:r>
        <w:rPr>
          <w:rFonts w:ascii="Open Sans" w:hAnsi="Open Sans"/>
          <w:b/>
          <w:bCs/>
          <w:color w:val="646673"/>
          <w:sz w:val="72"/>
          <w:szCs w:val="72"/>
          <w:shd w:val="clear" w:color="auto" w:fill="FFFFFF"/>
        </w:rPr>
        <w:br/>
      </w:r>
      <w:r>
        <w:rPr>
          <w:rStyle w:val="Strong"/>
        </w:rPr>
        <w:t xml:space="preserve">Weight: </w:t>
      </w:r>
      <w:r w:rsidR="00A9773B">
        <w:rPr>
          <w:rStyle w:val="Strong"/>
          <w:b w:val="0"/>
        </w:rPr>
        <w:t>122</w:t>
      </w:r>
      <w:r w:rsidR="007422A3">
        <w:rPr>
          <w:rStyle w:val="Strong"/>
          <w:b w:val="0"/>
        </w:rPr>
        <w:t xml:space="preserve"> gm; </w:t>
      </w:r>
      <w:r w:rsidR="00A9773B">
        <w:rPr>
          <w:rStyle w:val="Strong"/>
          <w:b w:val="0"/>
        </w:rPr>
        <w:t>4.25</w:t>
      </w:r>
      <w:r w:rsidRPr="001C3247">
        <w:rPr>
          <w:rStyle w:val="Strong"/>
          <w:b w:val="0"/>
        </w:rPr>
        <w:t xml:space="preserve"> oz.</w:t>
      </w:r>
    </w:p>
    <w:p w:rsidR="001C3247" w:rsidRDefault="001C3247" w:rsidP="001C3247">
      <w:r>
        <w:rPr>
          <w:rStyle w:val="Strong"/>
        </w:rPr>
        <w:t xml:space="preserve">Provenance: </w:t>
      </w:r>
      <w:r w:rsidRPr="00D45666">
        <w:rPr>
          <w:rStyle w:val="Strong"/>
          <w:b w:val="0"/>
        </w:rPr>
        <w:t>Ex European collection</w:t>
      </w:r>
    </w:p>
    <w:p w:rsidR="001C3247" w:rsidRPr="004043CB" w:rsidRDefault="001C3247" w:rsidP="001C3247">
      <w:pPr>
        <w:rPr>
          <w:b/>
        </w:rPr>
      </w:pPr>
      <w:r w:rsidRPr="004043CB">
        <w:rPr>
          <w:b/>
        </w:rPr>
        <w:t>Condition</w:t>
      </w:r>
      <w:r>
        <w:rPr>
          <w:b/>
        </w:rPr>
        <w:t xml:space="preserve">: </w:t>
      </w:r>
      <w:r>
        <w:t>Original</w:t>
      </w:r>
    </w:p>
    <w:p w:rsidR="001C3247" w:rsidRDefault="001C3247" w:rsidP="001C3247">
      <w:pPr>
        <w:rPr>
          <w:b/>
        </w:rPr>
      </w:pPr>
      <w:r w:rsidRPr="004043CB">
        <w:rPr>
          <w:b/>
        </w:rPr>
        <w:t>Discussion</w:t>
      </w:r>
      <w:r>
        <w:rPr>
          <w:b/>
        </w:rPr>
        <w:t xml:space="preserve">: </w:t>
      </w:r>
    </w:p>
    <w:p w:rsidR="001C3247" w:rsidRDefault="001C3247" w:rsidP="001C3247">
      <w:pPr>
        <w:rPr>
          <w:b/>
        </w:rPr>
      </w:pPr>
      <w:r>
        <w:t>Early versions of Ushabtis were modelled to represent the task that the servant would perform and the Ushabtis were portrayed with the tools with which to complete their specific tasks.</w:t>
      </w:r>
      <w:r w:rsidRPr="009C435A">
        <w:t xml:space="preserve"> </w:t>
      </w:r>
      <w:r>
        <w:t xml:space="preserve">By the </w:t>
      </w:r>
      <w:r w:rsidRPr="009C435A">
        <w:t>Ptolemaic Period</w:t>
      </w:r>
      <w:r>
        <w:t xml:space="preserve"> Ushabtis has become a token gesture, and therefore they were almost exclusively mummiform as in this current example, without a specific purpose or job to perform--just a show to the underworld as to the riches of the deceased and his tokens of preventing him from any manual labor.</w:t>
      </w:r>
      <w:r>
        <w:rPr>
          <w:b/>
        </w:rPr>
        <w:t xml:space="preserve"> </w:t>
      </w:r>
      <w:r>
        <w:t xml:space="preserve">Furthermore, by the Ptolemaic Period (350-300 BCE) there was a wide variation in the meaning </w:t>
      </w:r>
      <w:r w:rsidR="00A9773B">
        <w:t xml:space="preserve">and accuracy </w:t>
      </w:r>
      <w:r>
        <w:t xml:space="preserve">of </w:t>
      </w:r>
      <w:r w:rsidR="00A9773B">
        <w:t xml:space="preserve">hieroglyphs on </w:t>
      </w:r>
      <w:r>
        <w:t xml:space="preserve">Ushabtis, since the complex ritual and language of the cult of </w:t>
      </w:r>
      <w:r w:rsidRPr="009C435A">
        <w:t>Osiris</w:t>
      </w:r>
      <w:r>
        <w:t xml:space="preserve"> had begun to lose popularity. </w:t>
      </w:r>
    </w:p>
    <w:p w:rsidR="001C3247" w:rsidRDefault="001C3247" w:rsidP="001C3247">
      <w:pPr>
        <w:rPr>
          <w:b/>
        </w:rPr>
      </w:pPr>
      <w:r w:rsidRPr="00050BD4">
        <w:rPr>
          <w:b/>
        </w:rPr>
        <w:t>References:</w:t>
      </w:r>
    </w:p>
    <w:p w:rsidR="001C3247" w:rsidRPr="00103D6F" w:rsidRDefault="001C3247" w:rsidP="001C3247">
      <w:r>
        <w:t xml:space="preserve"> </w:t>
      </w:r>
    </w:p>
    <w:p w:rsidR="001C3247" w:rsidRPr="00103D6F" w:rsidRDefault="001C3247" w:rsidP="001C3247">
      <w:r w:rsidRPr="00103D6F">
        <w:t xml:space="preserve">Aubert, J.-F. et L. Aubert. 1974. </w:t>
      </w:r>
      <w:r w:rsidRPr="001C3247">
        <w:rPr>
          <w:i/>
        </w:rPr>
        <w:t xml:space="preserve">Statuettes </w:t>
      </w:r>
      <w:proofErr w:type="spellStart"/>
      <w:r w:rsidRPr="001C3247">
        <w:rPr>
          <w:i/>
        </w:rPr>
        <w:t>Egyptiennes</w:t>
      </w:r>
      <w:proofErr w:type="spellEnd"/>
      <w:r w:rsidRPr="001C3247">
        <w:rPr>
          <w:i/>
        </w:rPr>
        <w:t xml:space="preserve">: </w:t>
      </w:r>
      <w:proofErr w:type="spellStart"/>
      <w:r w:rsidRPr="001C3247">
        <w:rPr>
          <w:i/>
        </w:rPr>
        <w:t>Chaouabtis</w:t>
      </w:r>
      <w:proofErr w:type="spellEnd"/>
      <w:r w:rsidRPr="001C3247">
        <w:rPr>
          <w:i/>
        </w:rPr>
        <w:t xml:space="preserve">, </w:t>
      </w:r>
      <w:proofErr w:type="spellStart"/>
      <w:r w:rsidRPr="001C3247">
        <w:rPr>
          <w:i/>
        </w:rPr>
        <w:t>Ouchebtis</w:t>
      </w:r>
      <w:proofErr w:type="spellEnd"/>
      <w:r w:rsidRPr="00103D6F">
        <w:t>. Paris, 1974.</w:t>
      </w:r>
    </w:p>
    <w:p w:rsidR="001C3247" w:rsidRPr="00103D6F" w:rsidRDefault="001C3247" w:rsidP="001C3247"/>
    <w:p w:rsidR="001C3247" w:rsidRPr="00103D6F" w:rsidRDefault="001C3247" w:rsidP="001C3247">
      <w:r w:rsidRPr="00103D6F">
        <w:t xml:space="preserve">Janes, Glenn. 2002. </w:t>
      </w:r>
      <w:proofErr w:type="spellStart"/>
      <w:r w:rsidRPr="00103D6F">
        <w:t>Shabtis</w:t>
      </w:r>
      <w:proofErr w:type="spellEnd"/>
      <w:r w:rsidRPr="00103D6F">
        <w:t xml:space="preserve">. </w:t>
      </w:r>
      <w:r w:rsidRPr="001C3247">
        <w:rPr>
          <w:i/>
        </w:rPr>
        <w:t>A Private View, Ancient Egyptian Funerary Statuettes in European Private Collections</w:t>
      </w:r>
      <w:r w:rsidRPr="00103D6F">
        <w:t xml:space="preserve">. Paris: </w:t>
      </w:r>
      <w:proofErr w:type="spellStart"/>
      <w:r w:rsidRPr="00103D6F">
        <w:t>Cybèle</w:t>
      </w:r>
      <w:proofErr w:type="spellEnd"/>
      <w:r w:rsidRPr="00103D6F">
        <w:t>.</w:t>
      </w:r>
    </w:p>
    <w:p w:rsidR="001C3247" w:rsidRPr="00103D6F" w:rsidRDefault="001C3247" w:rsidP="001C3247"/>
    <w:p w:rsidR="001C3247" w:rsidRPr="00103D6F" w:rsidRDefault="001C3247" w:rsidP="001C3247">
      <w:r w:rsidRPr="00103D6F">
        <w:t>Newberry, Percy E. 1930-1957</w:t>
      </w:r>
      <w:r w:rsidRPr="001C3247">
        <w:rPr>
          <w:i/>
        </w:rPr>
        <w:t>. Funerary Statuettes and Model Sarcopha</w:t>
      </w:r>
      <w:r w:rsidRPr="00103D6F">
        <w:t xml:space="preserve">gi. </w:t>
      </w:r>
      <w:r w:rsidRPr="00103D6F">
        <w:rPr>
          <w:rFonts w:hint="eastAsia"/>
        </w:rPr>
        <w:t xml:space="preserve"> Le </w:t>
      </w:r>
      <w:proofErr w:type="spellStart"/>
      <w:r w:rsidRPr="00103D6F">
        <w:rPr>
          <w:rFonts w:hint="eastAsia"/>
        </w:rPr>
        <w:t>Caire</w:t>
      </w:r>
      <w:proofErr w:type="spellEnd"/>
      <w:r w:rsidRPr="00103D6F">
        <w:rPr>
          <w:rFonts w:hint="eastAsia"/>
        </w:rPr>
        <w:t xml:space="preserve">: </w:t>
      </w:r>
      <w:proofErr w:type="spellStart"/>
      <w:r w:rsidRPr="00103D6F">
        <w:rPr>
          <w:rFonts w:hint="eastAsia"/>
        </w:rPr>
        <w:t>Impr</w:t>
      </w:r>
      <w:proofErr w:type="spellEnd"/>
      <w:r w:rsidRPr="00103D6F">
        <w:rPr>
          <w:rFonts w:hint="eastAsia"/>
        </w:rPr>
        <w:t xml:space="preserve">. de </w:t>
      </w:r>
      <w:proofErr w:type="spellStart"/>
      <w:r w:rsidRPr="00103D6F">
        <w:rPr>
          <w:rFonts w:hint="eastAsia"/>
        </w:rPr>
        <w:t>l'Institut</w:t>
      </w:r>
      <w:proofErr w:type="spellEnd"/>
      <w:r w:rsidRPr="00103D6F">
        <w:rPr>
          <w:rFonts w:hint="eastAsia"/>
        </w:rPr>
        <w:t xml:space="preserve"> </w:t>
      </w:r>
      <w:proofErr w:type="spellStart"/>
      <w:r w:rsidRPr="00103D6F">
        <w:rPr>
          <w:rFonts w:hint="eastAsia"/>
        </w:rPr>
        <w:t>français</w:t>
      </w:r>
      <w:proofErr w:type="spellEnd"/>
      <w:r w:rsidRPr="00103D6F">
        <w:rPr>
          <w:rFonts w:hint="eastAsia"/>
        </w:rPr>
        <w:t xml:space="preserve"> </w:t>
      </w:r>
      <w:proofErr w:type="spellStart"/>
      <w:r w:rsidRPr="00103D6F">
        <w:rPr>
          <w:rFonts w:hint="eastAsia"/>
        </w:rPr>
        <w:t>d'archéologie</w:t>
      </w:r>
      <w:proofErr w:type="spellEnd"/>
      <w:r w:rsidRPr="00103D6F">
        <w:rPr>
          <w:rFonts w:hint="eastAsia"/>
        </w:rPr>
        <w:t xml:space="preserve"> </w:t>
      </w:r>
      <w:proofErr w:type="spellStart"/>
      <w:r w:rsidRPr="00103D6F">
        <w:rPr>
          <w:rFonts w:hint="eastAsia"/>
        </w:rPr>
        <w:t>orientale</w:t>
      </w:r>
      <w:proofErr w:type="spellEnd"/>
      <w:r w:rsidRPr="00103D6F">
        <w:rPr>
          <w:rFonts w:hint="eastAsia"/>
        </w:rPr>
        <w:t>.</w:t>
      </w:r>
    </w:p>
    <w:p w:rsidR="001C3247" w:rsidRPr="00103D6F" w:rsidRDefault="001C3247" w:rsidP="001C3247"/>
    <w:p w:rsidR="001C3247" w:rsidRPr="00103D6F" w:rsidRDefault="001C3247" w:rsidP="001C3247">
      <w:r w:rsidRPr="00103D6F">
        <w:t xml:space="preserve">Schneider, Hans D. 1977. </w:t>
      </w:r>
      <w:proofErr w:type="spellStart"/>
      <w:r w:rsidRPr="001C3247">
        <w:rPr>
          <w:i/>
        </w:rPr>
        <w:t>Shabtis</w:t>
      </w:r>
      <w:proofErr w:type="spellEnd"/>
      <w:r w:rsidRPr="001C3247">
        <w:rPr>
          <w:i/>
        </w:rPr>
        <w:t xml:space="preserve"> - An Introduction to the History of Ancient Egyptian Funerary Statuettes. With a Catalogue of the Collection of </w:t>
      </w:r>
      <w:proofErr w:type="spellStart"/>
      <w:r w:rsidRPr="001C3247">
        <w:rPr>
          <w:i/>
        </w:rPr>
        <w:t>Shabtis</w:t>
      </w:r>
      <w:proofErr w:type="spellEnd"/>
      <w:r w:rsidRPr="001C3247">
        <w:rPr>
          <w:i/>
        </w:rPr>
        <w:t xml:space="preserve"> in the National Museum of Leiden</w:t>
      </w:r>
      <w:r w:rsidRPr="00103D6F">
        <w:t xml:space="preserve">. 3 volumes. Leiden: Rijksmuseum van </w:t>
      </w:r>
      <w:proofErr w:type="spellStart"/>
      <w:r w:rsidRPr="00103D6F">
        <w:t>Oudheden</w:t>
      </w:r>
      <w:proofErr w:type="spellEnd"/>
      <w:r w:rsidRPr="00103D6F">
        <w:t xml:space="preserve"> </w:t>
      </w:r>
      <w:proofErr w:type="spellStart"/>
      <w:r w:rsidRPr="00103D6F">
        <w:t>Te</w:t>
      </w:r>
      <w:proofErr w:type="spellEnd"/>
      <w:r w:rsidRPr="00103D6F">
        <w:t xml:space="preserve"> Leiden.</w:t>
      </w:r>
      <w:r w:rsidRPr="00103D6F">
        <w:br/>
      </w:r>
    </w:p>
    <w:p w:rsidR="001C3247" w:rsidRPr="00103D6F" w:rsidRDefault="001C3247" w:rsidP="001C3247">
      <w:proofErr w:type="spellStart"/>
      <w:r w:rsidRPr="00103D6F">
        <w:t>Schlögl</w:t>
      </w:r>
      <w:proofErr w:type="spellEnd"/>
      <w:r w:rsidRPr="00103D6F">
        <w:t xml:space="preserve">, Hermann and Andreas </w:t>
      </w:r>
      <w:proofErr w:type="spellStart"/>
      <w:r w:rsidRPr="00103D6F">
        <w:t>Brodbeck</w:t>
      </w:r>
      <w:proofErr w:type="spellEnd"/>
      <w:r w:rsidRPr="00103D6F">
        <w:t xml:space="preserve">. 1990. </w:t>
      </w:r>
      <w:proofErr w:type="spellStart"/>
      <w:r w:rsidRPr="00103D6F">
        <w:t>Ägyptische</w:t>
      </w:r>
      <w:proofErr w:type="spellEnd"/>
      <w:r w:rsidRPr="00103D6F">
        <w:t xml:space="preserve"> </w:t>
      </w:r>
      <w:proofErr w:type="spellStart"/>
      <w:r w:rsidRPr="00103D6F">
        <w:t>Totenfiguren</w:t>
      </w:r>
      <w:proofErr w:type="spellEnd"/>
      <w:r w:rsidRPr="00103D6F">
        <w:t xml:space="preserve"> </w:t>
      </w:r>
      <w:proofErr w:type="spellStart"/>
      <w:r w:rsidRPr="00103D6F">
        <w:t>aus</w:t>
      </w:r>
      <w:proofErr w:type="spellEnd"/>
      <w:r w:rsidRPr="00103D6F">
        <w:t xml:space="preserve"> </w:t>
      </w:r>
      <w:proofErr w:type="spellStart"/>
      <w:r w:rsidRPr="00103D6F">
        <w:t>öffentlichen</w:t>
      </w:r>
      <w:proofErr w:type="spellEnd"/>
      <w:r w:rsidRPr="00103D6F">
        <w:t xml:space="preserve"> und </w:t>
      </w:r>
      <w:proofErr w:type="spellStart"/>
      <w:r w:rsidRPr="00103D6F">
        <w:t>privaten</w:t>
      </w:r>
      <w:proofErr w:type="spellEnd"/>
      <w:r w:rsidRPr="00103D6F">
        <w:t xml:space="preserve"> </w:t>
      </w:r>
      <w:proofErr w:type="spellStart"/>
      <w:r w:rsidRPr="00103D6F">
        <w:t>Sammlungen</w:t>
      </w:r>
      <w:proofErr w:type="spellEnd"/>
      <w:r w:rsidRPr="00103D6F">
        <w:t xml:space="preserve"> der </w:t>
      </w:r>
      <w:proofErr w:type="spellStart"/>
      <w:r w:rsidRPr="00103D6F">
        <w:t>Schweiz</w:t>
      </w:r>
      <w:proofErr w:type="spellEnd"/>
      <w:r w:rsidRPr="00103D6F">
        <w:t xml:space="preserve">. </w:t>
      </w:r>
      <w:proofErr w:type="spellStart"/>
      <w:r w:rsidRPr="00103D6F">
        <w:t>Orbis</w:t>
      </w:r>
      <w:proofErr w:type="spellEnd"/>
      <w:r w:rsidRPr="00103D6F">
        <w:t xml:space="preserve"> </w:t>
      </w:r>
      <w:proofErr w:type="spellStart"/>
      <w:r w:rsidRPr="00103D6F">
        <w:t>Biblicus</w:t>
      </w:r>
      <w:proofErr w:type="spellEnd"/>
      <w:r w:rsidRPr="00103D6F">
        <w:t xml:space="preserve"> et </w:t>
      </w:r>
      <w:proofErr w:type="spellStart"/>
      <w:r w:rsidRPr="00103D6F">
        <w:t>Orientalis</w:t>
      </w:r>
      <w:proofErr w:type="spellEnd"/>
      <w:r w:rsidRPr="00103D6F">
        <w:t xml:space="preserve">, Series </w:t>
      </w:r>
      <w:proofErr w:type="spellStart"/>
      <w:r w:rsidRPr="00103D6F">
        <w:t>Archeologica</w:t>
      </w:r>
      <w:proofErr w:type="spellEnd"/>
      <w:r w:rsidRPr="00103D6F">
        <w:t xml:space="preserve">, 7. </w:t>
      </w:r>
      <w:proofErr w:type="spellStart"/>
      <w:r w:rsidRPr="00103D6F">
        <w:t>Göttingen</w:t>
      </w:r>
      <w:proofErr w:type="spellEnd"/>
      <w:r w:rsidRPr="00103D6F">
        <w:t xml:space="preserve">, </w:t>
      </w:r>
      <w:proofErr w:type="spellStart"/>
      <w:r w:rsidRPr="00103D6F">
        <w:t>Vandenhoeck</w:t>
      </w:r>
      <w:proofErr w:type="spellEnd"/>
      <w:r w:rsidRPr="00103D6F">
        <w:t xml:space="preserve"> &amp; </w:t>
      </w:r>
      <w:proofErr w:type="spellStart"/>
      <w:r w:rsidRPr="00103D6F">
        <w:t>Ruprecht</w:t>
      </w:r>
      <w:proofErr w:type="spellEnd"/>
      <w:r w:rsidRPr="00103D6F">
        <w:t xml:space="preserve">; Freiburg </w:t>
      </w:r>
      <w:proofErr w:type="spellStart"/>
      <w:r w:rsidRPr="00103D6F">
        <w:t>Schweiz</w:t>
      </w:r>
      <w:proofErr w:type="spellEnd"/>
      <w:r w:rsidRPr="00103D6F">
        <w:t xml:space="preserve">, </w:t>
      </w:r>
      <w:proofErr w:type="spellStart"/>
      <w:r w:rsidRPr="00103D6F">
        <w:t>Universitätsverlag</w:t>
      </w:r>
      <w:proofErr w:type="spellEnd"/>
      <w:r w:rsidRPr="00103D6F">
        <w:t>.</w:t>
      </w:r>
    </w:p>
    <w:p w:rsidR="001C3247" w:rsidRPr="00103D6F" w:rsidRDefault="001C3247" w:rsidP="001C3247"/>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47"/>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67A0"/>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667"/>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560F"/>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6B6E"/>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543"/>
    <w:rsid w:val="001B06A6"/>
    <w:rsid w:val="001B411B"/>
    <w:rsid w:val="001B52CA"/>
    <w:rsid w:val="001B569F"/>
    <w:rsid w:val="001B5706"/>
    <w:rsid w:val="001B6E29"/>
    <w:rsid w:val="001C066A"/>
    <w:rsid w:val="001C0C34"/>
    <w:rsid w:val="001C1334"/>
    <w:rsid w:val="001C1C7D"/>
    <w:rsid w:val="001C1EE5"/>
    <w:rsid w:val="001C3247"/>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363"/>
    <w:rsid w:val="00235FC6"/>
    <w:rsid w:val="00236823"/>
    <w:rsid w:val="0023718F"/>
    <w:rsid w:val="0023740B"/>
    <w:rsid w:val="00237EB1"/>
    <w:rsid w:val="0024061C"/>
    <w:rsid w:val="0024149A"/>
    <w:rsid w:val="00242407"/>
    <w:rsid w:val="00243847"/>
    <w:rsid w:val="00246964"/>
    <w:rsid w:val="00251D9A"/>
    <w:rsid w:val="00252AA9"/>
    <w:rsid w:val="00256ACB"/>
    <w:rsid w:val="00261118"/>
    <w:rsid w:val="002614E1"/>
    <w:rsid w:val="00264CD9"/>
    <w:rsid w:val="002652D7"/>
    <w:rsid w:val="00265C45"/>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2BD"/>
    <w:rsid w:val="002C4596"/>
    <w:rsid w:val="002C4F6B"/>
    <w:rsid w:val="002C507E"/>
    <w:rsid w:val="002D09F6"/>
    <w:rsid w:val="002D2373"/>
    <w:rsid w:val="002D29B3"/>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077D"/>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193"/>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B81"/>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1390"/>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35435"/>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1712"/>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0FD7"/>
    <w:rsid w:val="004D1E4C"/>
    <w:rsid w:val="004D4D3A"/>
    <w:rsid w:val="004D4EE0"/>
    <w:rsid w:val="004D5FBA"/>
    <w:rsid w:val="004E1535"/>
    <w:rsid w:val="004E4F31"/>
    <w:rsid w:val="004E5426"/>
    <w:rsid w:val="004E5D86"/>
    <w:rsid w:val="004E6712"/>
    <w:rsid w:val="004E6DB0"/>
    <w:rsid w:val="004E70BC"/>
    <w:rsid w:val="004F0A37"/>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4F84"/>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0C73"/>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C7DB9"/>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2A3"/>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589C"/>
    <w:rsid w:val="00785B75"/>
    <w:rsid w:val="00787F58"/>
    <w:rsid w:val="00791B13"/>
    <w:rsid w:val="0079247D"/>
    <w:rsid w:val="00792D28"/>
    <w:rsid w:val="00793B97"/>
    <w:rsid w:val="00796D30"/>
    <w:rsid w:val="007A23CE"/>
    <w:rsid w:val="007A5A79"/>
    <w:rsid w:val="007A792B"/>
    <w:rsid w:val="007A7E23"/>
    <w:rsid w:val="007B1DF8"/>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05CF"/>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BBA"/>
    <w:rsid w:val="00852E35"/>
    <w:rsid w:val="00855205"/>
    <w:rsid w:val="0085590C"/>
    <w:rsid w:val="00857956"/>
    <w:rsid w:val="00857B6D"/>
    <w:rsid w:val="00862D85"/>
    <w:rsid w:val="00863FD6"/>
    <w:rsid w:val="008644F9"/>
    <w:rsid w:val="008645D9"/>
    <w:rsid w:val="008654BF"/>
    <w:rsid w:val="00866655"/>
    <w:rsid w:val="0086680A"/>
    <w:rsid w:val="00867B80"/>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5E5D"/>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0176"/>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13E6"/>
    <w:rsid w:val="009134B1"/>
    <w:rsid w:val="00913604"/>
    <w:rsid w:val="00913B67"/>
    <w:rsid w:val="00913C98"/>
    <w:rsid w:val="00914B15"/>
    <w:rsid w:val="009247CC"/>
    <w:rsid w:val="00924D6C"/>
    <w:rsid w:val="009274A2"/>
    <w:rsid w:val="00930C58"/>
    <w:rsid w:val="00931FE7"/>
    <w:rsid w:val="009323ED"/>
    <w:rsid w:val="00932D04"/>
    <w:rsid w:val="009331D5"/>
    <w:rsid w:val="0093447D"/>
    <w:rsid w:val="00936797"/>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1CA8"/>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0970"/>
    <w:rsid w:val="00A6107D"/>
    <w:rsid w:val="00A655B4"/>
    <w:rsid w:val="00A655E1"/>
    <w:rsid w:val="00A746F5"/>
    <w:rsid w:val="00A76746"/>
    <w:rsid w:val="00A80CB9"/>
    <w:rsid w:val="00A81620"/>
    <w:rsid w:val="00A8168A"/>
    <w:rsid w:val="00A85589"/>
    <w:rsid w:val="00A876F1"/>
    <w:rsid w:val="00A93157"/>
    <w:rsid w:val="00A93E2E"/>
    <w:rsid w:val="00A93E33"/>
    <w:rsid w:val="00A9405C"/>
    <w:rsid w:val="00A9773B"/>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2D69"/>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AF7"/>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B23"/>
    <w:rsid w:val="00B53F9F"/>
    <w:rsid w:val="00B55329"/>
    <w:rsid w:val="00B56131"/>
    <w:rsid w:val="00B565D3"/>
    <w:rsid w:val="00B56674"/>
    <w:rsid w:val="00B61619"/>
    <w:rsid w:val="00B61E28"/>
    <w:rsid w:val="00B63395"/>
    <w:rsid w:val="00B63936"/>
    <w:rsid w:val="00B65113"/>
    <w:rsid w:val="00B66F6B"/>
    <w:rsid w:val="00B709C9"/>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2A3F"/>
    <w:rsid w:val="00BD3F5A"/>
    <w:rsid w:val="00BD5352"/>
    <w:rsid w:val="00BD7101"/>
    <w:rsid w:val="00BD75E2"/>
    <w:rsid w:val="00BD78ED"/>
    <w:rsid w:val="00BE0C57"/>
    <w:rsid w:val="00BE1D60"/>
    <w:rsid w:val="00BE2CD1"/>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D8F"/>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2539"/>
    <w:rsid w:val="00C535F8"/>
    <w:rsid w:val="00C538C9"/>
    <w:rsid w:val="00C53E08"/>
    <w:rsid w:val="00C56D16"/>
    <w:rsid w:val="00C60E00"/>
    <w:rsid w:val="00C625E6"/>
    <w:rsid w:val="00C6275B"/>
    <w:rsid w:val="00C63657"/>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5EB7"/>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1B72"/>
    <w:rsid w:val="00DA64D6"/>
    <w:rsid w:val="00DA7FD1"/>
    <w:rsid w:val="00DB0CE4"/>
    <w:rsid w:val="00DB1D0B"/>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4075"/>
    <w:rsid w:val="00DD5F76"/>
    <w:rsid w:val="00DD6837"/>
    <w:rsid w:val="00DE2580"/>
    <w:rsid w:val="00DE2682"/>
    <w:rsid w:val="00DE29E7"/>
    <w:rsid w:val="00DE3C4E"/>
    <w:rsid w:val="00DE4641"/>
    <w:rsid w:val="00DE5C32"/>
    <w:rsid w:val="00DE73D9"/>
    <w:rsid w:val="00DF1C60"/>
    <w:rsid w:val="00DF2457"/>
    <w:rsid w:val="00DF40DD"/>
    <w:rsid w:val="00DF6C42"/>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1A70"/>
    <w:rsid w:val="00E7394C"/>
    <w:rsid w:val="00E75408"/>
    <w:rsid w:val="00E758E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C7B2B"/>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44B6"/>
    <w:rsid w:val="00F15441"/>
    <w:rsid w:val="00F1551D"/>
    <w:rsid w:val="00F160E2"/>
    <w:rsid w:val="00F163D3"/>
    <w:rsid w:val="00F1779B"/>
    <w:rsid w:val="00F17C2C"/>
    <w:rsid w:val="00F210CE"/>
    <w:rsid w:val="00F21749"/>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1FDE"/>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77ED8"/>
    <w:rsid w:val="00F80062"/>
    <w:rsid w:val="00F80DBA"/>
    <w:rsid w:val="00F81529"/>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D3402"/>
    <w:rsid w:val="00FE01D8"/>
    <w:rsid w:val="00FE069C"/>
    <w:rsid w:val="00FE06B4"/>
    <w:rsid w:val="00FE147C"/>
    <w:rsid w:val="00FE411B"/>
    <w:rsid w:val="00FE4E5C"/>
    <w:rsid w:val="00FE5452"/>
    <w:rsid w:val="00FE5986"/>
    <w:rsid w:val="00FE637D"/>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25E45-39E7-4CF0-A26F-091F0545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247"/>
    <w:rPr>
      <w:rFonts w:cstheme="minorBidi"/>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1C3247"/>
    <w:rPr>
      <w:b/>
      <w:bCs/>
    </w:rPr>
  </w:style>
  <w:style w:type="character" w:customStyle="1" w:styleId="exlavailabilitycallnumber">
    <w:name w:val="exlavailabilitycallnumber"/>
    <w:basedOn w:val="DefaultParagraphFont"/>
    <w:rsid w:val="001C3247"/>
  </w:style>
  <w:style w:type="character" w:styleId="CommentReference">
    <w:name w:val="annotation reference"/>
    <w:basedOn w:val="DefaultParagraphFont"/>
    <w:uiPriority w:val="99"/>
    <w:semiHidden/>
    <w:unhideWhenUsed/>
    <w:rsid w:val="001C3247"/>
    <w:rPr>
      <w:sz w:val="16"/>
      <w:szCs w:val="16"/>
    </w:rPr>
  </w:style>
  <w:style w:type="paragraph" w:styleId="CommentText">
    <w:name w:val="annotation text"/>
    <w:basedOn w:val="Normal"/>
    <w:link w:val="CommentTextChar"/>
    <w:uiPriority w:val="99"/>
    <w:semiHidden/>
    <w:unhideWhenUsed/>
    <w:rsid w:val="001C3247"/>
    <w:rPr>
      <w:rFonts w:cs="Times New Roman"/>
      <w:color w:val="auto"/>
      <w:sz w:val="20"/>
      <w:szCs w:val="20"/>
    </w:rPr>
  </w:style>
  <w:style w:type="character" w:customStyle="1" w:styleId="CommentTextChar">
    <w:name w:val="Comment Text Char"/>
    <w:basedOn w:val="DefaultParagraphFont"/>
    <w:link w:val="CommentText"/>
    <w:uiPriority w:val="99"/>
    <w:semiHidden/>
    <w:rsid w:val="001C3247"/>
    <w:rPr>
      <w:sz w:val="20"/>
      <w:szCs w:val="20"/>
    </w:rPr>
  </w:style>
  <w:style w:type="paragraph" w:styleId="BalloonText">
    <w:name w:val="Balloon Text"/>
    <w:basedOn w:val="Normal"/>
    <w:link w:val="BalloonTextChar"/>
    <w:uiPriority w:val="99"/>
    <w:semiHidden/>
    <w:unhideWhenUsed/>
    <w:rsid w:val="001C32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24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2018-07-02T15:40:00Z</dcterms:created>
  <dcterms:modified xsi:type="dcterms:W3CDTF">2018-07-02T15:40:00Z</dcterms:modified>
</cp:coreProperties>
</file>