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30247E">
      <w:bookmarkStart w:id="0" w:name="_GoBack"/>
      <w:r>
        <w:t>A000-BMAC-Iconography</w:t>
      </w:r>
    </w:p>
    <w:bookmarkEnd w:id="0"/>
    <w:p w:rsidR="00D63E2A" w:rsidRDefault="00D63E2A"/>
    <w:p w:rsidR="00D63E2A" w:rsidRDefault="00D63E2A">
      <w:pPr>
        <w:rPr>
          <w:rFonts w:ascii="Georgia" w:hAnsi="Georgia"/>
          <w:color w:val="000000"/>
          <w:sz w:val="21"/>
          <w:szCs w:val="21"/>
          <w:shd w:val="clear" w:color="auto" w:fill="FFFFFF"/>
        </w:rPr>
      </w:pPr>
      <w:r>
        <w:rPr>
          <w:rStyle w:val="Emphasis"/>
          <w:rFonts w:ascii="Georgia" w:hAnsi="Georgia"/>
          <w:color w:val="000000"/>
          <w:sz w:val="21"/>
          <w:szCs w:val="21"/>
          <w:shd w:val="clear" w:color="auto" w:fill="FFFFFF"/>
        </w:rPr>
        <w:t xml:space="preserve">Early Old Elamite seals of the </w:t>
      </w:r>
      <w:proofErr w:type="spellStart"/>
      <w:r>
        <w:rPr>
          <w:rStyle w:val="Emphasis"/>
          <w:rFonts w:ascii="Georgia" w:hAnsi="Georgia"/>
          <w:color w:val="000000"/>
          <w:sz w:val="21"/>
          <w:szCs w:val="21"/>
          <w:shd w:val="clear" w:color="auto" w:fill="FFFFFF"/>
        </w:rPr>
        <w:t>Sukkalmah</w:t>
      </w:r>
      <w:proofErr w:type="spellEnd"/>
      <w:r>
        <w:rPr>
          <w:rFonts w:ascii="Georgia" w:hAnsi="Georgia"/>
          <w:color w:val="000000"/>
          <w:sz w:val="21"/>
          <w:szCs w:val="21"/>
          <w:shd w:val="clear" w:color="auto" w:fill="FFFFFF"/>
        </w:rPr>
        <w:t xml:space="preserve"> (ca. 20th- 19th centuries </w:t>
      </w:r>
      <w:proofErr w:type="spellStart"/>
      <w:r>
        <w:rPr>
          <w:rFonts w:ascii="Georgia" w:hAnsi="Georgia"/>
          <w:color w:val="000000"/>
          <w:sz w:val="21"/>
          <w:szCs w:val="21"/>
          <w:shd w:val="clear" w:color="auto" w:fill="FFFFFF"/>
        </w:rPr>
        <w:t>b.c.e</w:t>
      </w:r>
      <w:proofErr w:type="spellEnd"/>
      <w:r>
        <w:rPr>
          <w:rFonts w:ascii="Georgia" w:hAnsi="Georgia"/>
          <w:color w:val="000000"/>
          <w:sz w:val="21"/>
          <w:szCs w:val="21"/>
          <w:shd w:val="clear" w:color="auto" w:fill="FFFFFF"/>
        </w:rPr>
        <w:t xml:space="preserve">.). The cylinder seals of the </w:t>
      </w:r>
      <w:proofErr w:type="spellStart"/>
      <w:r>
        <w:rPr>
          <w:rFonts w:ascii="Georgia" w:hAnsi="Georgia"/>
          <w:color w:val="000000"/>
          <w:sz w:val="21"/>
          <w:szCs w:val="21"/>
          <w:shd w:val="clear" w:color="auto" w:fill="FFFFFF"/>
        </w:rPr>
        <w:t>Sukkalmah</w:t>
      </w:r>
      <w:proofErr w:type="spellEnd"/>
      <w:r>
        <w:rPr>
          <w:rFonts w:ascii="Georgia" w:hAnsi="Georgia"/>
          <w:color w:val="000000"/>
          <w:sz w:val="21"/>
          <w:szCs w:val="21"/>
          <w:shd w:val="clear" w:color="auto" w:fill="FFFFFF"/>
        </w:rPr>
        <w:t xml:space="preserve"> and their officials were divided by Ursula </w:t>
      </w:r>
      <w:proofErr w:type="spellStart"/>
      <w:r>
        <w:rPr>
          <w:rFonts w:ascii="Georgia" w:hAnsi="Georgia"/>
          <w:color w:val="000000"/>
          <w:sz w:val="21"/>
          <w:szCs w:val="21"/>
          <w:shd w:val="clear" w:color="auto" w:fill="FFFFFF"/>
        </w:rPr>
        <w:t>Seidl</w:t>
      </w:r>
      <w:proofErr w:type="spellEnd"/>
      <w:r>
        <w:rPr>
          <w:rFonts w:ascii="Georgia" w:hAnsi="Georgia"/>
          <w:color w:val="000000"/>
          <w:sz w:val="21"/>
          <w:szCs w:val="21"/>
          <w:shd w:val="clear" w:color="auto" w:fill="FFFFFF"/>
        </w:rPr>
        <w:t xml:space="preserve"> (1990) into three chronologically sequential groups. She has used the dates available for the seal impressions and cylinders of the period, which are a valuable guide for further research.</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Here a further division is suggested for the earliest group of cylinders, in which a western and an eastern group can be recognized. In the western group the placing of the figures conforms to the Old Babylonian presentation of a worshiper to a deity, while the attire of the figures is distinctively Elamite, especially the hair style with the hair projecting over the forehead. In the rare representations of deities with horned crowns the horns have an S shape turning outward at the ends, unlike the Babylonian horns, which turn inward at the top. The long garments show a narrow waist and a bell- like extension at the bottom. Most characteristic is the gesture of the hands, which are extended toward the deity or the ruler figure. The hands appear to be cupped to receive the bounty occasionally dispensed by the deity or the ruler in the form of streams of what was probably water (</w:t>
      </w:r>
      <w:hyperlink r:id="rId4" w:tooltip="Plate XLIII. Ancient (1-3) and modern impressions of Old Elamite cylinder seals." w:history="1">
        <w:r>
          <w:rPr>
            <w:rStyle w:val="Hyperlink"/>
            <w:rFonts w:ascii="Georgia" w:hAnsi="Georgia"/>
            <w:color w:val="3B749D"/>
            <w:sz w:val="21"/>
            <w:szCs w:val="21"/>
            <w:shd w:val="clear" w:color="auto" w:fill="FFFFFF"/>
          </w:rPr>
          <w:t>Plate XLIII</w:t>
        </w:r>
      </w:hyperlink>
      <w:r>
        <w:rPr>
          <w:rFonts w:ascii="Georgia" w:hAnsi="Georgia"/>
          <w:color w:val="000000"/>
          <w:sz w:val="21"/>
          <w:szCs w:val="21"/>
          <w:shd w:val="clear" w:color="auto" w:fill="FFFFFF"/>
        </w:rPr>
        <w:t xml:space="preserve">/6; </w:t>
      </w:r>
      <w:proofErr w:type="spellStart"/>
      <w:r>
        <w:rPr>
          <w:rFonts w:ascii="Georgia" w:hAnsi="Georgia"/>
          <w:color w:val="000000"/>
          <w:sz w:val="21"/>
          <w:szCs w:val="21"/>
          <w:shd w:val="clear" w:color="auto" w:fill="FFFFFF"/>
        </w:rPr>
        <w:t>Porada</w:t>
      </w:r>
      <w:proofErr w:type="spellEnd"/>
      <w:r>
        <w:rPr>
          <w:rFonts w:ascii="Georgia" w:hAnsi="Georgia"/>
          <w:color w:val="000000"/>
          <w:sz w:val="21"/>
          <w:szCs w:val="21"/>
          <w:shd w:val="clear" w:color="auto" w:fill="FFFFFF"/>
        </w:rPr>
        <w:t xml:space="preserve">, 1990, pl. II/16). </w:t>
      </w:r>
    </w:p>
    <w:p w:rsidR="00D63E2A" w:rsidRDefault="00D63E2A">
      <w:r>
        <w:object w:dxaOrig="4322" w:dyaOrig="3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0.5pt;height:292pt" o:ole="">
            <v:imagedata r:id="rId5" o:title="" blacklevel="2621f"/>
          </v:shape>
          <o:OLEObject Type="Embed" ProgID="Unknown" ShapeID="_x0000_i1028" DrawAspect="Content" ObjectID="_1601623340" r:id="rId6"/>
        </w:object>
      </w:r>
    </w:p>
    <w:p w:rsidR="00D63E2A" w:rsidRDefault="00D63E2A">
      <w:pPr>
        <w:rPr>
          <w:rFonts w:ascii="Georgia" w:hAnsi="Georgia"/>
          <w:color w:val="000000"/>
          <w:sz w:val="21"/>
          <w:szCs w:val="21"/>
          <w:shd w:val="clear" w:color="auto" w:fill="FFFFFF"/>
        </w:rPr>
      </w:pPr>
      <w:proofErr w:type="spellStart"/>
      <w:r>
        <w:rPr>
          <w:rFonts w:ascii="Georgia" w:hAnsi="Georgia"/>
          <w:color w:val="000000"/>
          <w:sz w:val="21"/>
          <w:szCs w:val="21"/>
          <w:shd w:val="clear" w:color="auto" w:fill="FFFFFF"/>
        </w:rPr>
        <w:t>Seidl</w:t>
      </w:r>
      <w:proofErr w:type="spellEnd"/>
      <w:r>
        <w:rPr>
          <w:rFonts w:ascii="Georgia" w:hAnsi="Georgia"/>
          <w:color w:val="000000"/>
          <w:sz w:val="21"/>
          <w:szCs w:val="21"/>
          <w:shd w:val="clear" w:color="auto" w:fill="FFFFFF"/>
        </w:rPr>
        <w:t xml:space="preserve"> suggests that the gesture also implies communication be</w:t>
      </w:r>
      <w:r>
        <w:rPr>
          <w:rFonts w:ascii="Georgia" w:hAnsi="Georgia"/>
          <w:color w:val="000000"/>
          <w:sz w:val="21"/>
          <w:szCs w:val="21"/>
          <w:shd w:val="clear" w:color="auto" w:fill="FFFFFF"/>
        </w:rPr>
        <w:t>tween god and worshiper and con</w:t>
      </w:r>
      <w:r>
        <w:rPr>
          <w:rFonts w:ascii="Georgia" w:hAnsi="Georgia"/>
          <w:color w:val="000000"/>
          <w:sz w:val="21"/>
          <w:szCs w:val="21"/>
          <w:shd w:val="clear" w:color="auto" w:fill="FFFFFF"/>
        </w:rPr>
        <w:t>siders the meaning of the gesture to be one of prayer (1990, p. 132).</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 xml:space="preserve">The eastern group is distinguished by the appearance of ladies in “crinolines.” Cylinder and stamp seals with this motif were found at Tell </w:t>
      </w:r>
      <w:proofErr w:type="spellStart"/>
      <w:r>
        <w:rPr>
          <w:rFonts w:ascii="Georgia" w:hAnsi="Georgia"/>
          <w:color w:val="000000"/>
          <w:sz w:val="21"/>
          <w:szCs w:val="21"/>
          <w:shd w:val="clear" w:color="auto" w:fill="FFFFFF"/>
        </w:rPr>
        <w:t>Malyan</w:t>
      </w:r>
      <w:proofErr w:type="spellEnd"/>
      <w:r>
        <w:rPr>
          <w:rFonts w:ascii="Georgia" w:hAnsi="Georgia"/>
          <w:color w:val="000000"/>
          <w:sz w:val="21"/>
          <w:szCs w:val="21"/>
          <w:shd w:val="clear" w:color="auto" w:fill="FFFFFF"/>
        </w:rPr>
        <w:t xml:space="preserve"> (Tall-e </w:t>
      </w:r>
      <w:proofErr w:type="spellStart"/>
      <w:r>
        <w:rPr>
          <w:rFonts w:ascii="Georgia" w:hAnsi="Georgia"/>
          <w:color w:val="000000"/>
          <w:sz w:val="21"/>
          <w:szCs w:val="21"/>
          <w:shd w:val="clear" w:color="auto" w:fill="FFFFFF"/>
        </w:rPr>
        <w:t>Malīān</w:t>
      </w:r>
      <w:proofErr w:type="spellEnd"/>
      <w:r>
        <w:rPr>
          <w:rFonts w:ascii="Georgia" w:hAnsi="Georgia"/>
          <w:color w:val="000000"/>
          <w:sz w:val="21"/>
          <w:szCs w:val="21"/>
          <w:shd w:val="clear" w:color="auto" w:fill="FFFFFF"/>
        </w:rPr>
        <w:t>), ancient </w:t>
      </w:r>
      <w:hyperlink r:id="rId7" w:history="1">
        <w:r>
          <w:rPr>
            <w:rStyle w:val="Hyperlink"/>
            <w:rFonts w:ascii="Georgia" w:hAnsi="Georgia"/>
            <w:color w:val="3B749D"/>
            <w:sz w:val="21"/>
            <w:szCs w:val="21"/>
            <w:shd w:val="clear" w:color="auto" w:fill="FFFFFF"/>
          </w:rPr>
          <w:t>Anshan</w:t>
        </w:r>
      </w:hyperlink>
      <w:r>
        <w:rPr>
          <w:rFonts w:ascii="Georgia" w:hAnsi="Georgia"/>
          <w:color w:val="000000"/>
          <w:sz w:val="21"/>
          <w:szCs w:val="21"/>
          <w:shd w:val="clear" w:color="auto" w:fill="FFFFFF"/>
        </w:rPr>
        <w:t xml:space="preserve">. Several of the cylinders show the lady seated under a vine. She wears a voluminous garment apparently made of a flounced material in several tiers. The male figure on the cylinder of the wife of </w:t>
      </w:r>
      <w:proofErr w:type="spellStart"/>
      <w:r>
        <w:rPr>
          <w:rFonts w:ascii="Georgia" w:hAnsi="Georgia"/>
          <w:color w:val="000000"/>
          <w:sz w:val="21"/>
          <w:szCs w:val="21"/>
          <w:shd w:val="clear" w:color="auto" w:fill="FFFFFF"/>
        </w:rPr>
        <w:t>Ebarat</w:t>
      </w:r>
      <w:proofErr w:type="spellEnd"/>
      <w:r>
        <w:rPr>
          <w:rFonts w:ascii="Georgia" w:hAnsi="Georgia"/>
          <w:color w:val="000000"/>
          <w:sz w:val="21"/>
          <w:szCs w:val="21"/>
          <w:shd w:val="clear" w:color="auto" w:fill="FFFFFF"/>
        </w:rPr>
        <w:t xml:space="preserve"> II (</w:t>
      </w:r>
      <w:hyperlink r:id="rId8" w:tooltip="Plate XLIII. Ancient (1-3) and modern impressions of Old Elamite cylinder seals." w:history="1">
        <w:r>
          <w:rPr>
            <w:rStyle w:val="Hyperlink"/>
            <w:rFonts w:ascii="Georgia" w:hAnsi="Georgia"/>
            <w:color w:val="3B749D"/>
            <w:sz w:val="21"/>
            <w:szCs w:val="21"/>
            <w:shd w:val="clear" w:color="auto" w:fill="FFFFFF"/>
          </w:rPr>
          <w:t xml:space="preserve">Plate </w:t>
        </w:r>
        <w:r>
          <w:rPr>
            <w:rStyle w:val="Hyperlink"/>
            <w:rFonts w:ascii="Georgia" w:hAnsi="Georgia"/>
            <w:color w:val="3B749D"/>
            <w:sz w:val="21"/>
            <w:szCs w:val="21"/>
            <w:shd w:val="clear" w:color="auto" w:fill="FFFFFF"/>
          </w:rPr>
          <w:lastRenderedPageBreak/>
          <w:t>XLIII</w:t>
        </w:r>
      </w:hyperlink>
      <w:r>
        <w:rPr>
          <w:rFonts w:ascii="Georgia" w:hAnsi="Georgia"/>
          <w:color w:val="000000"/>
          <w:sz w:val="21"/>
          <w:szCs w:val="21"/>
          <w:shd w:val="clear" w:color="auto" w:fill="FFFFFF"/>
        </w:rPr>
        <w:t xml:space="preserve">/5; Lambert, 1979) wears a turban-like headgear and holds a flower, a motif for which there is no parallel in the west. Nor do women appear prominently in Old Babylonian ritual scenes, as they do in those of the eastern group of </w:t>
      </w:r>
      <w:proofErr w:type="spellStart"/>
      <w:r>
        <w:rPr>
          <w:rFonts w:ascii="Georgia" w:hAnsi="Georgia"/>
          <w:color w:val="000000"/>
          <w:sz w:val="21"/>
          <w:szCs w:val="21"/>
          <w:shd w:val="clear" w:color="auto" w:fill="FFFFFF"/>
        </w:rPr>
        <w:t>Su</w:t>
      </w:r>
      <w:r>
        <w:rPr>
          <w:rFonts w:ascii="Georgia" w:hAnsi="Georgia"/>
          <w:color w:val="000000"/>
          <w:sz w:val="21"/>
          <w:szCs w:val="21"/>
          <w:shd w:val="clear" w:color="auto" w:fill="FFFFFF"/>
        </w:rPr>
        <w:t>kkalmah</w:t>
      </w:r>
      <w:proofErr w:type="spellEnd"/>
      <w:r>
        <w:rPr>
          <w:rFonts w:ascii="Georgia" w:hAnsi="Georgia"/>
          <w:color w:val="000000"/>
          <w:sz w:val="21"/>
          <w:szCs w:val="21"/>
          <w:shd w:val="clear" w:color="auto" w:fill="FFFFFF"/>
        </w:rPr>
        <w:t>-period cylinders of Per</w:t>
      </w:r>
      <w:r>
        <w:rPr>
          <w:rFonts w:ascii="Georgia" w:hAnsi="Georgia"/>
          <w:color w:val="000000"/>
          <w:sz w:val="21"/>
          <w:szCs w:val="21"/>
          <w:shd w:val="clear" w:color="auto" w:fill="FFFFFF"/>
        </w:rPr>
        <w:t xml:space="preserve">sia. </w:t>
      </w:r>
    </w:p>
    <w:p w:rsidR="00D63E2A" w:rsidRDefault="00592033">
      <w:r>
        <w:object w:dxaOrig="2881" w:dyaOrig="1441">
          <v:shape id="_x0000_i1025" type="#_x0000_t75" style="width:475pt;height:269pt" o:ole="">
            <v:imagedata r:id="rId9" o:title=""/>
          </v:shape>
          <o:OLEObject Type="Embed" ProgID="Unknown" ShapeID="_x0000_i1025" DrawAspect="Content" ObjectID="_1601623341" r:id="rId10"/>
        </w:object>
      </w:r>
    </w:p>
    <w:p w:rsidR="00B02908" w:rsidRDefault="00B02908">
      <w:r>
        <w:rPr>
          <w:noProof/>
        </w:rPr>
        <w:drawing>
          <wp:inline distT="0" distB="0" distL="0" distR="0">
            <wp:extent cx="6026150" cy="2931978"/>
            <wp:effectExtent l="0" t="0" r="0" b="1905"/>
            <wp:docPr id="2" name="Picture 2" descr="Image result for kaftari cylinder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ftari cylinder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4828" cy="2936200"/>
                    </a:xfrm>
                    <a:prstGeom prst="rect">
                      <a:avLst/>
                    </a:prstGeom>
                    <a:noFill/>
                    <a:ln>
                      <a:noFill/>
                    </a:ln>
                  </pic:spPr>
                </pic:pic>
              </a:graphicData>
            </a:graphic>
          </wp:inline>
        </w:drawing>
      </w:r>
    </w:p>
    <w:p w:rsidR="00AD22A2" w:rsidRDefault="00D63E2A">
      <w:pPr>
        <w:rPr>
          <w:rFonts w:ascii="Georgia" w:hAnsi="Georgia"/>
          <w:color w:val="000000"/>
          <w:sz w:val="21"/>
          <w:szCs w:val="21"/>
          <w:shd w:val="clear" w:color="auto" w:fill="FFFFFF"/>
        </w:rPr>
      </w:pPr>
      <w:r>
        <w:rPr>
          <w:rFonts w:ascii="Georgia" w:hAnsi="Georgia"/>
          <w:color w:val="000000"/>
          <w:sz w:val="21"/>
          <w:szCs w:val="21"/>
          <w:shd w:val="clear" w:color="auto" w:fill="FFFFFF"/>
        </w:rPr>
        <w:t>After W. G. Lambert’s publication of the seal in </w:t>
      </w:r>
      <w:hyperlink r:id="rId12" w:tooltip="Plate XLIII. Ancient (1-3) and modern impressions of Old Elamite cylinder seals." w:history="1">
        <w:r>
          <w:rPr>
            <w:rStyle w:val="Hyperlink"/>
            <w:rFonts w:ascii="Georgia" w:hAnsi="Georgia"/>
            <w:color w:val="3B749D"/>
            <w:sz w:val="21"/>
            <w:szCs w:val="21"/>
            <w:shd w:val="clear" w:color="auto" w:fill="FFFFFF"/>
          </w:rPr>
          <w:t>Plate XLIII</w:t>
        </w:r>
      </w:hyperlink>
      <w:r>
        <w:rPr>
          <w:rFonts w:ascii="Georgia" w:hAnsi="Georgia"/>
          <w:color w:val="000000"/>
          <w:sz w:val="21"/>
          <w:szCs w:val="21"/>
          <w:shd w:val="clear" w:color="auto" w:fill="FFFFFF"/>
        </w:rPr>
        <w:t xml:space="preserve">/5, several cylinders and </w:t>
      </w:r>
      <w:proofErr w:type="spellStart"/>
      <w:r>
        <w:rPr>
          <w:rFonts w:ascii="Georgia" w:hAnsi="Georgia"/>
          <w:color w:val="000000"/>
          <w:sz w:val="21"/>
          <w:szCs w:val="21"/>
          <w:shd w:val="clear" w:color="auto" w:fill="FFFFFF"/>
        </w:rPr>
        <w:t>sealings</w:t>
      </w:r>
      <w:proofErr w:type="spellEnd"/>
      <w:r>
        <w:rPr>
          <w:rFonts w:ascii="Georgia" w:hAnsi="Georgia"/>
          <w:color w:val="000000"/>
          <w:sz w:val="21"/>
          <w:szCs w:val="21"/>
          <w:shd w:val="clear" w:color="auto" w:fill="FFFFFF"/>
        </w:rPr>
        <w:t xml:space="preserve"> of related style were published (</w:t>
      </w:r>
      <w:proofErr w:type="spellStart"/>
      <w:r>
        <w:rPr>
          <w:rFonts w:ascii="Georgia" w:hAnsi="Georgia"/>
          <w:color w:val="000000"/>
          <w:sz w:val="21"/>
          <w:szCs w:val="21"/>
          <w:shd w:val="clear" w:color="auto" w:fill="FFFFFF"/>
        </w:rPr>
        <w:t>Amiet</w:t>
      </w:r>
      <w:proofErr w:type="spellEnd"/>
      <w:r>
        <w:rPr>
          <w:rFonts w:ascii="Georgia" w:hAnsi="Georgia"/>
          <w:color w:val="000000"/>
          <w:sz w:val="21"/>
          <w:szCs w:val="21"/>
          <w:shd w:val="clear" w:color="auto" w:fill="FFFFFF"/>
        </w:rPr>
        <w:t xml:space="preserve">, 1980a; Steve, 1989; </w:t>
      </w:r>
      <w:proofErr w:type="spellStart"/>
      <w:r>
        <w:rPr>
          <w:rFonts w:ascii="Georgia" w:hAnsi="Georgia"/>
          <w:color w:val="000000"/>
          <w:sz w:val="21"/>
          <w:szCs w:val="21"/>
          <w:shd w:val="clear" w:color="auto" w:fill="FFFFFF"/>
        </w:rPr>
        <w:t>Porada</w:t>
      </w:r>
      <w:proofErr w:type="spellEnd"/>
      <w:r>
        <w:rPr>
          <w:rFonts w:ascii="Georgia" w:hAnsi="Georgia"/>
          <w:color w:val="000000"/>
          <w:sz w:val="21"/>
          <w:szCs w:val="21"/>
          <w:shd w:val="clear" w:color="auto" w:fill="FFFFFF"/>
        </w:rPr>
        <w:t>, 1990), but o</w:t>
      </w:r>
      <w:r>
        <w:rPr>
          <w:rFonts w:ascii="Georgia" w:hAnsi="Georgia"/>
          <w:color w:val="000000"/>
          <w:sz w:val="21"/>
          <w:szCs w:val="21"/>
          <w:shd w:val="clear" w:color="auto" w:fill="FFFFFF"/>
        </w:rPr>
        <w:t>nly one poorly reproduced cylin</w:t>
      </w:r>
      <w:r>
        <w:rPr>
          <w:rFonts w:ascii="Georgia" w:hAnsi="Georgia"/>
          <w:color w:val="000000"/>
          <w:sz w:val="21"/>
          <w:szCs w:val="21"/>
          <w:shd w:val="clear" w:color="auto" w:fill="FFFFFF"/>
        </w:rPr>
        <w:t>der seal and one stamp seal (</w:t>
      </w:r>
      <w:hyperlink r:id="rId13" w:tooltip="Plate XLIII. Ancient (1-3) and modern impressions of Old Elamite cylinder seals." w:history="1">
        <w:r>
          <w:rPr>
            <w:rStyle w:val="Hyperlink"/>
            <w:rFonts w:ascii="Georgia" w:hAnsi="Georgia"/>
            <w:color w:val="3B749D"/>
            <w:sz w:val="21"/>
            <w:szCs w:val="21"/>
            <w:shd w:val="clear" w:color="auto" w:fill="FFFFFF"/>
          </w:rPr>
          <w:t>Plate XLIII</w:t>
        </w:r>
      </w:hyperlink>
      <w:r>
        <w:rPr>
          <w:rFonts w:ascii="Georgia" w:hAnsi="Georgia"/>
          <w:color w:val="000000"/>
          <w:sz w:val="21"/>
          <w:szCs w:val="21"/>
          <w:shd w:val="clear" w:color="auto" w:fill="FFFFFF"/>
        </w:rPr>
        <w:t>/7; Sumner, 1974, p. 172 fig. 12/</w:t>
      </w:r>
      <w:proofErr w:type="spellStart"/>
      <w:r>
        <w:rPr>
          <w:rFonts w:ascii="Georgia" w:hAnsi="Georgia"/>
          <w:color w:val="000000"/>
          <w:sz w:val="21"/>
          <w:szCs w:val="21"/>
          <w:shd w:val="clear" w:color="auto" w:fill="FFFFFF"/>
        </w:rPr>
        <w:t>i</w:t>
      </w:r>
      <w:proofErr w:type="spellEnd"/>
      <w:r>
        <w:rPr>
          <w:rFonts w:ascii="Georgia" w:hAnsi="Georgia"/>
          <w:color w:val="000000"/>
          <w:sz w:val="21"/>
          <w:szCs w:val="21"/>
          <w:shd w:val="clear" w:color="auto" w:fill="FFFFFF"/>
        </w:rPr>
        <w:t xml:space="preserve">) have so far been published from the several representations of the lady under the vine found in the controlled excavation of Tell </w:t>
      </w:r>
      <w:proofErr w:type="spellStart"/>
      <w:r>
        <w:rPr>
          <w:rFonts w:ascii="Georgia" w:hAnsi="Georgia"/>
          <w:color w:val="000000"/>
          <w:sz w:val="21"/>
          <w:szCs w:val="21"/>
          <w:shd w:val="clear" w:color="auto" w:fill="FFFFFF"/>
        </w:rPr>
        <w:t>Malyan</w:t>
      </w:r>
      <w:proofErr w:type="spellEnd"/>
      <w:r>
        <w:rPr>
          <w:rFonts w:ascii="Georgia" w:hAnsi="Georgia"/>
          <w:color w:val="000000"/>
          <w:sz w:val="21"/>
          <w:szCs w:val="21"/>
          <w:shd w:val="clear" w:color="auto" w:fill="FFFFFF"/>
        </w:rPr>
        <w:t xml:space="preserve">. </w:t>
      </w:r>
    </w:p>
    <w:p w:rsidR="00B02908" w:rsidRDefault="00AD22A2">
      <w:pPr>
        <w:rPr>
          <w:rFonts w:ascii="Georgia" w:hAnsi="Georgia"/>
          <w:color w:val="000000"/>
          <w:sz w:val="21"/>
          <w:szCs w:val="21"/>
          <w:shd w:val="clear" w:color="auto" w:fill="FFFFFF"/>
        </w:rPr>
      </w:pPr>
      <w:r>
        <w:rPr>
          <w:noProof/>
        </w:rPr>
        <w:lastRenderedPageBreak/>
        <w:drawing>
          <wp:inline distT="0" distB="0" distL="0" distR="0" wp14:anchorId="0B7E2D3C" wp14:editId="5784D3F3">
            <wp:extent cx="2286000" cy="17709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7551" cy="1772115"/>
                    </a:xfrm>
                    <a:prstGeom prst="rect">
                      <a:avLst/>
                    </a:prstGeom>
                  </pic:spPr>
                </pic:pic>
              </a:graphicData>
            </a:graphic>
          </wp:inline>
        </w:drawing>
      </w:r>
    </w:p>
    <w:p w:rsidR="00B02908" w:rsidRDefault="00B02908">
      <w:r>
        <w:object w:dxaOrig="7924" w:dyaOrig="5044">
          <v:shape id="_x0000_i1031" type="#_x0000_t75" style="width:396pt;height:252pt" o:ole="">
            <v:imagedata r:id="rId15" o:title=""/>
          </v:shape>
          <o:OLEObject Type="Embed" ProgID="Unknown" ShapeID="_x0000_i1031" DrawAspect="Content" ObjectID="_1601623342" r:id="rId16"/>
        </w:object>
      </w:r>
    </w:p>
    <w:p w:rsidR="00B02908" w:rsidRDefault="00B02908">
      <w:r w:rsidRPr="00B02908">
        <w:t>http://dare.ht.lu.se/tiles/imperium/9/331/211.png</w:t>
      </w:r>
    </w:p>
    <w:p w:rsidR="00D63E2A" w:rsidRPr="00D63E2A" w:rsidRDefault="00D63E2A">
      <w:pPr>
        <w:rPr>
          <w:rFonts w:ascii="Georgia" w:hAnsi="Georgia"/>
          <w:color w:val="000000"/>
          <w:sz w:val="21"/>
          <w:szCs w:val="21"/>
          <w:shd w:val="clear" w:color="auto" w:fill="FFFFFF"/>
        </w:rPr>
      </w:pPr>
      <w:r>
        <w:rPr>
          <w:rFonts w:ascii="Georgia" w:hAnsi="Georgia"/>
          <w:color w:val="000000"/>
          <w:sz w:val="21"/>
          <w:szCs w:val="21"/>
          <w:shd w:val="clear" w:color="auto" w:fill="FFFFFF"/>
        </w:rPr>
        <w:t xml:space="preserve">These seal designs will feature prominently, however, in </w:t>
      </w:r>
      <w:proofErr w:type="spellStart"/>
      <w:r>
        <w:rPr>
          <w:rFonts w:ascii="Georgia" w:hAnsi="Georgia"/>
          <w:color w:val="000000"/>
          <w:sz w:val="21"/>
          <w:szCs w:val="21"/>
          <w:shd w:val="clear" w:color="auto" w:fill="FFFFFF"/>
        </w:rPr>
        <w:t>Pitmann’s</w:t>
      </w:r>
      <w:proofErr w:type="spellEnd"/>
      <w:r>
        <w:rPr>
          <w:rFonts w:ascii="Georgia" w:hAnsi="Georgia"/>
          <w:color w:val="000000"/>
          <w:sz w:val="21"/>
          <w:szCs w:val="21"/>
          <w:shd w:val="clear" w:color="auto" w:fill="FFFFFF"/>
        </w:rPr>
        <w:t xml:space="preserve"> forthcoming publication of the seals of the </w:t>
      </w:r>
      <w:proofErr w:type="spellStart"/>
      <w:r>
        <w:rPr>
          <w:rFonts w:ascii="Georgia" w:hAnsi="Georgia"/>
          <w:color w:val="000000"/>
          <w:sz w:val="21"/>
          <w:szCs w:val="21"/>
          <w:shd w:val="clear" w:color="auto" w:fill="FFFFFF"/>
        </w:rPr>
        <w:t>Kaftari</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Kaftarī</w:t>
      </w:r>
      <w:proofErr w:type="spellEnd"/>
      <w:r w:rsidR="00B02908">
        <w:rPr>
          <w:rFonts w:ascii="Georgia" w:hAnsi="Georgia"/>
          <w:color w:val="000000"/>
          <w:sz w:val="21"/>
          <w:szCs w:val="21"/>
          <w:shd w:val="clear" w:color="auto" w:fill="FFFFFF"/>
        </w:rPr>
        <w:t xml:space="preserve">) period from </w:t>
      </w:r>
      <w:proofErr w:type="spellStart"/>
      <w:r w:rsidR="00B02908">
        <w:rPr>
          <w:rFonts w:ascii="Georgia" w:hAnsi="Georgia"/>
          <w:color w:val="000000"/>
          <w:sz w:val="21"/>
          <w:szCs w:val="21"/>
          <w:shd w:val="clear" w:color="auto" w:fill="FFFFFF"/>
        </w:rPr>
        <w:t>Malyan</w:t>
      </w:r>
      <w:proofErr w:type="spellEnd"/>
      <w:r w:rsidR="00B02908">
        <w:rPr>
          <w:rFonts w:ascii="Georgia" w:hAnsi="Georgia"/>
          <w:color w:val="000000"/>
          <w:sz w:val="21"/>
          <w:szCs w:val="21"/>
          <w:shd w:val="clear" w:color="auto" w:fill="FFFFFF"/>
        </w:rPr>
        <w:t>. They indi</w:t>
      </w:r>
      <w:r>
        <w:rPr>
          <w:rFonts w:ascii="Georgia" w:hAnsi="Georgia"/>
          <w:color w:val="000000"/>
          <w:sz w:val="21"/>
          <w:szCs w:val="21"/>
          <w:shd w:val="clear" w:color="auto" w:fill="FFFFFF"/>
        </w:rPr>
        <w:t xml:space="preserve">cate the region in which the eastern group originated. One of the seal designs showing a ruler figure </w:t>
      </w:r>
      <w:proofErr w:type="spellStart"/>
      <w:r>
        <w:rPr>
          <w:rFonts w:ascii="Georgia" w:hAnsi="Georgia"/>
          <w:color w:val="000000"/>
          <w:sz w:val="21"/>
          <w:szCs w:val="21"/>
          <w:shd w:val="clear" w:color="auto" w:fill="FFFFFF"/>
        </w:rPr>
        <w:t>dispens</w:t>
      </w:r>
      <w:proofErr w:type="spellEnd"/>
      <w:r>
        <w:rPr>
          <w:rFonts w:ascii="Georgia" w:hAnsi="Georgia"/>
          <w:color w:val="000000"/>
          <w:sz w:val="21"/>
          <w:szCs w:val="21"/>
          <w:shd w:val="clear" w:color="auto" w:fill="FFFFFF"/>
        </w:rPr>
        <w:t xml:space="preserve"> </w:t>
      </w:r>
      <w:proofErr w:type="spellStart"/>
      <w:r>
        <w:rPr>
          <w:rFonts w:ascii="Georgia" w:hAnsi="Georgia"/>
          <w:color w:val="000000"/>
          <w:sz w:val="21"/>
          <w:szCs w:val="21"/>
          <w:shd w:val="clear" w:color="auto" w:fill="FFFFFF"/>
        </w:rPr>
        <w:t>ing</w:t>
      </w:r>
      <w:proofErr w:type="spellEnd"/>
      <w:r>
        <w:rPr>
          <w:rFonts w:ascii="Georgia" w:hAnsi="Georgia"/>
          <w:color w:val="000000"/>
          <w:sz w:val="21"/>
          <w:szCs w:val="21"/>
          <w:shd w:val="clear" w:color="auto" w:fill="FFFFFF"/>
        </w:rPr>
        <w:t xml:space="preserve"> streams to a seated female was made with a </w:t>
      </w:r>
      <w:proofErr w:type="spellStart"/>
      <w:r>
        <w:rPr>
          <w:rFonts w:ascii="Georgia" w:hAnsi="Georgia"/>
          <w:color w:val="000000"/>
          <w:sz w:val="21"/>
          <w:szCs w:val="21"/>
          <w:shd w:val="clear" w:color="auto" w:fill="FFFFFF"/>
        </w:rPr>
        <w:t>cylin</w:t>
      </w:r>
      <w:proofErr w:type="spellEnd"/>
      <w:r>
        <w:rPr>
          <w:rFonts w:ascii="Georgia" w:hAnsi="Georgia"/>
          <w:color w:val="000000"/>
          <w:sz w:val="21"/>
          <w:szCs w:val="21"/>
          <w:shd w:val="clear" w:color="auto" w:fill="FFFFFF"/>
        </w:rPr>
        <w:t xml:space="preserve"> der belonging to an official of the </w:t>
      </w:r>
      <w:proofErr w:type="spellStart"/>
      <w:r>
        <w:rPr>
          <w:rFonts w:ascii="Georgia" w:hAnsi="Georgia"/>
          <w:color w:val="000000"/>
          <w:sz w:val="21"/>
          <w:szCs w:val="21"/>
          <w:shd w:val="clear" w:color="auto" w:fill="FFFFFF"/>
        </w:rPr>
        <w:t>Sukkalmah</w:t>
      </w:r>
      <w:proofErr w:type="spellEnd"/>
      <w:r>
        <w:rPr>
          <w:rFonts w:ascii="Georgia" w:hAnsi="Georgia"/>
          <w:color w:val="000000"/>
          <w:sz w:val="21"/>
          <w:szCs w:val="21"/>
          <w:shd w:val="clear" w:color="auto" w:fill="FFFFFF"/>
        </w:rPr>
        <w:t xml:space="preserve"> Pala </w:t>
      </w:r>
      <w:proofErr w:type="spellStart"/>
      <w:r>
        <w:rPr>
          <w:rFonts w:ascii="Georgia" w:hAnsi="Georgia"/>
          <w:color w:val="000000"/>
          <w:sz w:val="21"/>
          <w:szCs w:val="21"/>
          <w:shd w:val="clear" w:color="auto" w:fill="FFFFFF"/>
        </w:rPr>
        <w:t>ishshan</w:t>
      </w:r>
      <w:proofErr w:type="spellEnd"/>
      <w:r>
        <w:rPr>
          <w:rFonts w:ascii="Georgia" w:hAnsi="Georgia"/>
          <w:color w:val="000000"/>
          <w:sz w:val="21"/>
          <w:szCs w:val="21"/>
          <w:shd w:val="clear" w:color="auto" w:fill="FFFFFF"/>
        </w:rPr>
        <w:t xml:space="preserve">, recently dated in the middle of the 20th century </w:t>
      </w:r>
      <w:proofErr w:type="spellStart"/>
      <w:r>
        <w:rPr>
          <w:rFonts w:ascii="Georgia" w:hAnsi="Georgia"/>
          <w:color w:val="000000"/>
          <w:sz w:val="21"/>
          <w:szCs w:val="21"/>
          <w:shd w:val="clear" w:color="auto" w:fill="FFFFFF"/>
        </w:rPr>
        <w:t>b.c.e</w:t>
      </w:r>
      <w:proofErr w:type="spellEnd"/>
      <w:r>
        <w:rPr>
          <w:rFonts w:ascii="Georgia" w:hAnsi="Georgia"/>
          <w:color w:val="000000"/>
          <w:sz w:val="21"/>
          <w:szCs w:val="21"/>
          <w:shd w:val="clear" w:color="auto" w:fill="FFFFFF"/>
        </w:rPr>
        <w:t>. (</w:t>
      </w:r>
      <w:proofErr w:type="spellStart"/>
      <w:r>
        <w:rPr>
          <w:rFonts w:ascii="Georgia" w:hAnsi="Georgia"/>
          <w:color w:val="000000"/>
          <w:sz w:val="21"/>
          <w:szCs w:val="21"/>
          <w:shd w:val="clear" w:color="auto" w:fill="FFFFFF"/>
        </w:rPr>
        <w:t>Vallat</w:t>
      </w:r>
      <w:proofErr w:type="spellEnd"/>
      <w:r>
        <w:rPr>
          <w:rFonts w:ascii="Georgia" w:hAnsi="Georgia"/>
          <w:color w:val="000000"/>
          <w:sz w:val="21"/>
          <w:szCs w:val="21"/>
          <w:shd w:val="clear" w:color="auto" w:fill="FFFFFF"/>
        </w:rPr>
        <w:t xml:space="preserve">, 1989; </w:t>
      </w:r>
      <w:proofErr w:type="spellStart"/>
      <w:r>
        <w:rPr>
          <w:rFonts w:ascii="Georgia" w:hAnsi="Georgia"/>
          <w:color w:val="000000"/>
          <w:sz w:val="21"/>
          <w:szCs w:val="21"/>
          <w:shd w:val="clear" w:color="auto" w:fill="FFFFFF"/>
        </w:rPr>
        <w:t>Pétréquin</w:t>
      </w:r>
      <w:proofErr w:type="spellEnd"/>
      <w:r>
        <w:rPr>
          <w:rFonts w:ascii="Georgia" w:hAnsi="Georgia"/>
          <w:color w:val="000000"/>
          <w:sz w:val="21"/>
          <w:szCs w:val="21"/>
          <w:shd w:val="clear" w:color="auto" w:fill="FFFFFF"/>
        </w:rPr>
        <w:t>)</w:t>
      </w:r>
    </w:p>
    <w:sectPr w:rsidR="00D63E2A" w:rsidRPr="00D63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E2A"/>
    <w:rsid w:val="0030247E"/>
    <w:rsid w:val="00592033"/>
    <w:rsid w:val="00AD22A2"/>
    <w:rsid w:val="00B02908"/>
    <w:rsid w:val="00B22EB7"/>
    <w:rsid w:val="00D63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5CE911-5CDA-43E2-930F-9581BF36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63E2A"/>
    <w:rPr>
      <w:i/>
      <w:iCs/>
    </w:rPr>
  </w:style>
  <w:style w:type="character" w:styleId="Hyperlink">
    <w:name w:val="Hyperlink"/>
    <w:basedOn w:val="DefaultParagraphFont"/>
    <w:uiPriority w:val="99"/>
    <w:semiHidden/>
    <w:unhideWhenUsed/>
    <w:rsid w:val="00D63E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ranicaonline.org/uploads/files/Cylinder_Seals/v6f5a019_f8_300.jpg" TargetMode="External"/><Relationship Id="rId13" Type="http://schemas.openxmlformats.org/officeDocument/2006/relationships/hyperlink" Target="http://www.iranicaonline.org/uploads/files/Cylinder_Seals/v6f5a019_f8_300.jp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iranicaonline.org/articles/anshan-elamite-region" TargetMode="External"/><Relationship Id="rId12" Type="http://schemas.openxmlformats.org/officeDocument/2006/relationships/hyperlink" Target="http://www.iranicaonline.org/uploads/files/Cylinder_Seals/v6f5a019_f8_300.jpg"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3.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3.jpeg"/><Relationship Id="rId5" Type="http://schemas.openxmlformats.org/officeDocument/2006/relationships/image" Target="media/image1.emf"/><Relationship Id="rId15" Type="http://schemas.openxmlformats.org/officeDocument/2006/relationships/image" Target="media/image5.emf"/><Relationship Id="rId10" Type="http://schemas.openxmlformats.org/officeDocument/2006/relationships/oleObject" Target="embeddings/oleObject2.bin"/><Relationship Id="rId4" Type="http://schemas.openxmlformats.org/officeDocument/2006/relationships/hyperlink" Target="http://www.iranicaonline.org/uploads/files/Cylinder_Seals/v6f5a019_f8_300.jpg" TargetMode="External"/><Relationship Id="rId9" Type="http://schemas.openxmlformats.org/officeDocument/2006/relationships/image" Target="media/image2.emf"/><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2018-10-18T18:32:00Z</dcterms:created>
  <dcterms:modified xsi:type="dcterms:W3CDTF">2018-10-21T14:35:00Z</dcterms:modified>
</cp:coreProperties>
</file>