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vbaProject.bin" ContentType="application/vnd.ms-office.vbaProjec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wmf" ContentType="image/x-wmf"/>
  <Override PartName="/word/media/image4.jpeg" ContentType="image/jpeg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A171-</w:t>
      </w:r>
      <w:r>
        <w:rPr>
          <w:rStyle w:val="StrongEmphasis"/>
          <w:b w:val="false"/>
        </w:rPr>
        <w:t xml:space="preserve"> Egypt-Alexandria-</w:t>
      </w:r>
      <w:r>
        <w:rPr>
          <w:rStyle w:val="Unicode"/>
          <w:bCs/>
        </w:rPr>
        <w:t>Woman</w:t>
      </w:r>
      <w:r>
        <w:rPr/>
        <w:t xml:space="preserve"> on Camel-Hellenistic Terracotta-3rd-2nd century BCE</w:t>
      </w:r>
    </w:p>
    <w:p>
      <w:pPr>
        <w:pStyle w:val="Normal"/>
        <w:rPr/>
      </w:pPr>
      <w:r>
        <w:rPr/>
        <w:drawing>
          <wp:inline distT="0" distB="0" distL="0" distR="0">
            <wp:extent cx="6125210" cy="66135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/>
        <w:t xml:space="preserve">Fig. 1. </w:t>
      </w:r>
      <w:r>
        <w:rPr>
          <w:rStyle w:val="StrongEmphasis"/>
          <w:b w:val="false"/>
        </w:rPr>
        <w:t>Egypt-Alexandria-</w:t>
      </w:r>
      <w:r>
        <w:rPr>
          <w:rStyle w:val="Unicode"/>
          <w:bCs/>
        </w:rPr>
        <w:t>Woman</w:t>
      </w:r>
      <w:r>
        <w:rPr/>
        <w:t xml:space="preserve"> on Camel-Hellenistic Terracotta-3rd-2nd century BCE</w:t>
      </w:r>
    </w:p>
    <w:p>
      <w:pPr>
        <w:pStyle w:val="Normal"/>
        <w:rPr>
          <w:rStyle w:val="StrongEmphasis"/>
        </w:rPr>
      </w:pPr>
      <w:r>
        <w:rPr/>
      </w:r>
    </w:p>
    <w:p>
      <w:pPr>
        <w:pStyle w:val="Normal"/>
        <w:rPr/>
      </w:pPr>
      <w:r>
        <w:rPr>
          <w:rStyle w:val="StrongEmphasis"/>
        </w:rPr>
        <w:t>Case no.: 2</w:t>
      </w:r>
    </w:p>
    <w:p>
      <w:pPr>
        <w:pStyle w:val="Normal"/>
        <w:rPr/>
      </w:pPr>
      <w:r>
        <w:rPr>
          <w:rStyle w:val="StrongEmphasis"/>
        </w:rPr>
        <w:t>Accession Number: A171</w:t>
      </w:r>
    </w:p>
    <w:p>
      <w:pPr>
        <w:pStyle w:val="Normal"/>
        <w:rPr/>
      </w:pPr>
      <w:r>
        <w:rPr>
          <w:rStyle w:val="StrongEmphasis"/>
        </w:rPr>
        <w:t xml:space="preserve">Formal Label: </w:t>
      </w:r>
      <w:r>
        <w:rPr>
          <w:rStyle w:val="StrongEmphasis"/>
          <w:b w:val="false"/>
        </w:rPr>
        <w:t>Egypt-Alexandria-</w:t>
      </w:r>
      <w:r>
        <w:rPr>
          <w:rStyle w:val="Unicode"/>
          <w:bCs/>
        </w:rPr>
        <w:t>Woman</w:t>
      </w:r>
      <w:r>
        <w:rPr/>
        <w:t xml:space="preserve"> on Camel-Hellenistic Terracotta-3rd-2nd century BCE</w:t>
      </w:r>
    </w:p>
    <w:p>
      <w:pPr>
        <w:pStyle w:val="Normal"/>
        <w:rPr/>
      </w:pPr>
      <w:r>
        <w:rPr>
          <w:b/>
          <w:bCs/>
        </w:rPr>
        <w:t xml:space="preserve">Display Description: </w:t>
      </w:r>
      <w:r>
        <w:rPr>
          <w:rStyle w:val="Unicode"/>
          <w:bCs/>
        </w:rPr>
        <w:t xml:space="preserve">This Hellenistic, </w:t>
      </w:r>
      <w:r>
        <w:rPr/>
        <w:t>3rd-2nd century BCE,</w:t>
      </w:r>
      <w:r>
        <w:rPr>
          <w:rStyle w:val="Unicode"/>
          <w:bCs/>
        </w:rPr>
        <w:t xml:space="preserve"> terracotta from Alexandria, Egypt, portrays a half-body female statuette </w:t>
      </w:r>
      <w:r>
        <w:rPr/>
        <w:t>wearing a tunic covered by a himation gown and secured on camelback by a heavily folded tapestry. She is portrayed as holding, with both hands, a tambourine, a musical instrument that was played by women accompanying ceremonial processions, especially in military triumphs, in the pre-Islamic Middle East.</w:t>
      </w:r>
    </w:p>
    <w:p>
      <w:pPr>
        <w:pStyle w:val="Normal"/>
        <w:rPr>
          <w:rFonts w:ascii="Verdana" w:hAnsi="Verdana" w:eastAsia="Times New Roman" w:cs="Verdana"/>
          <w:color w:val="000000"/>
          <w:lang w:eastAsia="en-US"/>
        </w:rPr>
      </w:pPr>
      <w:r>
        <w:rPr>
          <w:b/>
          <w:bCs/>
        </w:rPr>
        <w:t xml:space="preserve">LC Classification: </w:t>
      </w:r>
      <w:r>
        <w:rPr>
          <w:bCs/>
        </w:rPr>
        <w:t>NB94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Date or Time Horizon:</w:t>
      </w:r>
      <w:r>
        <w:rPr/>
        <w:t xml:space="preserve"> 3rd-2nd century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  <w:r>
        <w:rPr>
          <w:rStyle w:val="Unicode"/>
          <w:bCs/>
        </w:rPr>
        <w:t>Alexandria, Egypt</w:t>
      </w:r>
    </w:p>
    <w:p>
      <w:pPr>
        <w:pStyle w:val="Normal"/>
        <w:rPr/>
      </w:pPr>
      <w:r>
        <w:rPr>
          <w:b/>
        </w:rPr>
        <w:t xml:space="preserve">Map, GPS coordinates: </w:t>
      </w:r>
      <w:r>
        <w:rPr/>
        <w:t>31.31298 30.05882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2871470" cy="2207260"/>
            <wp:effectExtent l="0" t="0" r="0" b="0"/>
            <wp:docPr id="2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lang w:val="en-US" w:eastAsia="en-US"/>
        </w:rPr>
        <w:t>Fig. 2. Map of Alexandria, Egypt.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Hellenistic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Terracotta</w:t>
      </w:r>
    </w:p>
    <w:p>
      <w:pPr>
        <w:pStyle w:val="Normal"/>
        <w:rPr/>
      </w:pPr>
      <w:r>
        <w:rPr>
          <w:rStyle w:val="StrongEmphasis"/>
        </w:rPr>
        <w:t>Dimensions:</w:t>
      </w:r>
      <w:r>
        <w:rPr/>
        <w:t xml:space="preserve"> 16 cm. x 13 cm.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Condition: </w:t>
      </w:r>
      <w:r>
        <w:rPr>
          <w:rStyle w:val="StrongEmphasis"/>
          <w:b w:val="false"/>
        </w:rPr>
        <w:t xml:space="preserve">Original.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Alexandria.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Web"/>
        <w:spacing w:before="0" w:after="0"/>
        <w:rPr/>
      </w:pPr>
      <w:r>
        <w:rPr/>
        <w:t xml:space="preserve">This seated female figure whose head is covered by a himation gown signifying a solemn ceremonial event is performing a musical ritual probably honoring a military audience </w:t>
      </w:r>
      <w:r>
        <w:rPr>
          <w:i/>
        </w:rPr>
        <w:t>apropos</w:t>
      </w:r>
      <w:r>
        <w:rPr/>
        <w:t xml:space="preserve"> their victory. The rider on a camel is an iconographical emblem that represented honoring success in warfare in Hellenistic Arabia. Nabatea, Egypt and Syria (see Patrich 1990:73, n. 53).</w:t>
      </w:r>
    </w:p>
    <w:p>
      <w:pPr>
        <w:pStyle w:val="Normal"/>
        <w:rPr/>
      </w:pPr>
      <w:r>
        <w:rPr/>
        <w:drawing>
          <wp:inline distT="0" distB="0" distL="0" distR="0">
            <wp:extent cx="3121025" cy="453263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42565" cy="450723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2" t="-7" r="-12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fr-FR"/>
        </w:rPr>
        <w:t xml:space="preserve">Fig. 3. Detail of figure 1 above. Fig. 4. </w:t>
      </w:r>
      <w:r>
        <w:rPr>
          <w:rStyle w:val="Unicode"/>
          <w:bCs/>
        </w:rPr>
        <w:t xml:space="preserve">This Hellenistic, </w:t>
      </w:r>
      <w:r>
        <w:rPr/>
        <w:t>3rd-2nd century BCE,</w:t>
      </w:r>
      <w:r>
        <w:rPr>
          <w:rStyle w:val="Unicode"/>
          <w:bCs/>
        </w:rPr>
        <w:t xml:space="preserve"> terracotta from Damascus, Syria, portrays two half-body female statuettes </w:t>
      </w:r>
      <w:r>
        <w:rPr/>
        <w:t>with the right female holding a flute and the left female holding a tambourine. They are wearing pleated gowns, with bouffant coiffures and are secured on camelback by a heavily folded tapestry</w:t>
      </w:r>
      <w:r>
        <w:rPr>
          <w:lang w:val="fr-FR"/>
        </w:rPr>
        <w:t>. After Cumont 1917: 273, Fig. 94. (Musée du Louvre)</w:t>
      </w:r>
    </w:p>
    <w:p>
      <w:pPr>
        <w:pStyle w:val="Normal"/>
        <w:rPr/>
      </w:pPr>
      <w:r>
        <w:rPr/>
        <w:object>
          <v:shape id="ole_rId6" style="width:252.1pt;height:252.2pt" o:ole="">
            <v:imagedata r:id="rId7" o:title=""/>
          </v:shape>
          <o:OLEObject Type="Embed" ProgID="" ShapeID="ole_rId6" DrawAspect="Content" ObjectID="_504761987" r:id="rId6"/>
        </w:object>
      </w:r>
    </w:p>
    <w:p>
      <w:pPr>
        <w:pStyle w:val="Normal"/>
        <w:rPr/>
      </w:pPr>
      <w:r>
        <w:rPr/>
        <w:t>Fig. 5. This Hellenistic, 3rd-2nd century BCE, terracotta from Alexandria, Egypt portrays two half-body female statuettes holding, with both hands, tambourines and wearing pleated gowns, with bouffant coiffures. They are secured on camelback by a heavily folded tapestry. From Ny Carlsberg Glyptotek, Art Museum and History Museum, Tivolis, København V. https://foursquare.com/v/ny-carlsberg-glyptotek</w:t>
      </w:r>
    </w:p>
    <w:p>
      <w:pPr>
        <w:pStyle w:val="Normal"/>
        <w:rPr/>
      </w:pPr>
      <w:r>
        <w:rPr/>
      </w:r>
    </w:p>
    <w:p>
      <w:pPr>
        <w:pStyle w:val="NormalWeb"/>
        <w:spacing w:before="0" w:after="0"/>
        <w:rPr>
          <w:b/>
          <w:b/>
        </w:rPr>
      </w:pPr>
      <w:r>
        <w:rPr>
          <w:b/>
        </w:rPr>
        <w:t>References:</w:t>
      </w:r>
    </w:p>
    <w:p>
      <w:pPr>
        <w:pStyle w:val="NormalWeb"/>
        <w:spacing w:before="0" w:after="0"/>
        <w:rPr/>
      </w:pPr>
      <w:r>
        <w:rPr/>
        <w:t>Cumont, Franz. 1917.</w:t>
      </w:r>
      <w:r>
        <w:rPr>
          <w:i/>
          <w:color w:val="000000"/>
        </w:rPr>
        <w:t xml:space="preserve"> </w:t>
      </w:r>
      <w:hyperlink r:id="rId8">
        <w:r>
          <w:rPr>
            <w:rStyle w:val="InternetLink"/>
            <w:i/>
            <w:color w:val="000000"/>
          </w:rPr>
          <w:t>E</w:t>
        </w:r>
        <w:r>
          <w:rPr>
            <w:rStyle w:val="InternetLink"/>
            <w:rFonts w:cs="SimSun;宋体" w:ascii="SimSun;宋体" w:hAnsi="SimSun;宋体"/>
            <w:i/>
            <w:color w:val="000000"/>
          </w:rPr>
          <w:t>́</w:t>
        </w:r>
        <w:r>
          <w:rPr>
            <w:rStyle w:val="InternetLink"/>
            <w:i/>
            <w:color w:val="000000"/>
          </w:rPr>
          <w:t>tudes Syriennes</w:t>
        </w:r>
      </w:hyperlink>
      <w:r>
        <w:rPr/>
        <w:t xml:space="preserve">. </w:t>
      </w:r>
      <w:r>
        <w:rPr/>
        <w:t>Paris: A. Picard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Patrich, </w:t>
      </w:r>
      <w:r>
        <w:rPr/>
        <w:t>Joseph</w:t>
      </w:r>
      <w:r>
        <w:rPr>
          <w:rFonts w:eastAsia="Arial Unicode MS" w:cs="Arial Unicode MS" w:ascii="Arial Unicode MS" w:hAnsi="Arial Unicode MS"/>
          <w:color w:val="000000"/>
          <w:shd w:fill="FFFFFF" w:val="clear"/>
        </w:rPr>
        <w:t>.</w:t>
      </w:r>
      <w:r>
        <w:rPr/>
        <w:t xml:space="preserve"> 1990. </w:t>
      </w:r>
      <w:hyperlink r:id="rId9">
        <w:r>
          <w:rPr>
            <w:rStyle w:val="InternetLink"/>
            <w:i/>
            <w:color w:val="000000"/>
            <w:u w:val="none"/>
          </w:rPr>
          <w:t>The formation of Nabatean art: prohibition of a graven image among the Nabateans</w:t>
        </w:r>
      </w:hyperlink>
      <w:r>
        <w:rPr>
          <w:i/>
          <w:color w:val="000000"/>
        </w:rPr>
        <w:t>.</w:t>
      </w:r>
      <w:r>
        <w:rPr/>
        <w:t xml:space="preserve"> </w:t>
      </w:r>
      <w:r>
        <w:rPr/>
        <w:t>Jerusalem: Magnes Press, Hebrew University; Leiden; New York: E.J. Brill.</w:t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 Light">
    <w:charset w:val="00" w:characterSet="windows-1252"/>
    <w:family w:val="swiss"/>
    <w:pitch w:val="variable"/>
  </w:font>
  <w:font w:name="Segoe UI">
    <w:charset w:val="00" w:characterSet="windows-1252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  <w:font w:name="SimSun">
    <w:altName w:val="宋体"/>
    <w:charset w:val="86"/>
    <w:family w:val="auto"/>
    <w:pitch w:val="variable"/>
  </w:font>
  <w:font w:name="Arial Unicode MS">
    <w:charset w:val="8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outlineLvl w:val="0"/>
    </w:pPr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DefaultParagraphFont">
    <w:name w:val="Default Paragraph Font"/>
    <w:qFormat/>
    <w:rPr/>
  </w:style>
  <w:style w:type="character" w:styleId="Gclrght">
    <w:name w:val="g-clrght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cl33mbv10">
    <w:name w:val="mb-cl33 mb-v10"/>
    <w:basedOn w:val="DefaultParagraphFont"/>
    <w:qFormat/>
    <w:rPr/>
  </w:style>
  <w:style w:type="character" w:styleId="Mbcl66mbv10">
    <w:name w:val="mb-cl66 mb-v10"/>
    <w:basedOn w:val="DefaultParagraphFont"/>
    <w:qFormat/>
    <w:rPr/>
  </w:style>
  <w:style w:type="character" w:styleId="Ctact">
    <w:name w:val="cta-ct"/>
    <w:basedOn w:val="DefaultParagraphFont"/>
    <w:qFormat/>
    <w:rPr/>
  </w:style>
  <w:style w:type="character" w:styleId="Gvxs33a1">
    <w:name w:val="g_vxs33a1"/>
    <w:basedOn w:val="DefaultParagraphFont"/>
    <w:qFormat/>
    <w:rPr/>
  </w:style>
  <w:style w:type="character" w:styleId="Gv331">
    <w:name w:val="g-v331"/>
    <w:basedOn w:val="DefaultParagraph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character" w:styleId="Unicode">
    <w:name w:val="unicode"/>
    <w:basedOn w:val="DefaultParagraphFont"/>
    <w:qFormat/>
    <w:rPr/>
  </w:style>
  <w:style w:type="character" w:styleId="Description">
    <w:name w:val="description"/>
    <w:basedOn w:val="DefaultParagraphFont"/>
    <w:qFormat/>
    <w:rPr/>
  </w:style>
  <w:style w:type="character" w:styleId="Mwcitebacklink">
    <w:name w:val="mw-cite-backlink"/>
    <w:basedOn w:val="DefaultParagraphFont"/>
    <w:qFormat/>
    <w:rPr/>
  </w:style>
  <w:style w:type="character" w:styleId="Referencetext">
    <w:name w:val="reference-text"/>
    <w:basedOn w:val="DefaultParagraphFont"/>
    <w:qFormat/>
    <w:rPr/>
  </w:style>
  <w:style w:type="character" w:styleId="Citation">
    <w:name w:val="citation"/>
    <w:basedOn w:val="DefaultParagraphFont"/>
    <w:qFormat/>
    <w:rPr/>
  </w:style>
  <w:style w:type="character" w:styleId="Citationbook">
    <w:name w:val="citation book"/>
    <w:basedOn w:val="DefaultParagraphFont"/>
    <w:qFormat/>
    <w:rPr/>
  </w:style>
  <w:style w:type="character" w:styleId="Locality">
    <w:name w:val="locality"/>
    <w:basedOn w:val="DefaultParagraphFont"/>
    <w:qFormat/>
    <w:rPr/>
  </w:style>
  <w:style w:type="character" w:styleId="Itempublisher">
    <w:name w:val="itempublisher"/>
    <w:basedOn w:val="DefaultParagraphFont"/>
    <w:qFormat/>
    <w:rPr/>
  </w:style>
  <w:style w:type="character" w:styleId="Copy">
    <w:name w:val="copy"/>
    <w:basedOn w:val="DefaultParagraphFont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CommentReference">
    <w:name w:val="Comment Reference"/>
    <w:qFormat/>
    <w:rPr>
      <w:sz w:val="16"/>
      <w:szCs w:val="16"/>
    </w:rPr>
  </w:style>
  <w:style w:type="character" w:styleId="CommentTextChar">
    <w:name w:val="Comment Text Char"/>
    <w:qFormat/>
    <w:rPr>
      <w:lang w:eastAsia="zh-CN"/>
    </w:rPr>
  </w:style>
  <w:style w:type="character" w:styleId="CommentSubjectChar">
    <w:name w:val="Comment Subject Char"/>
    <w:qFormat/>
    <w:rPr>
      <w:b/>
      <w:bCs/>
      <w:lang w:eastAsia="zh-CN"/>
    </w:rPr>
  </w:style>
  <w:style w:type="character" w:styleId="BalloonTextChar">
    <w:name w:val="Balloon Text Char"/>
    <w:qFormat/>
    <w:rPr>
      <w:rFonts w:ascii="Segoe UI" w:hAnsi="Segoe UI" w:cs="Segoe UI"/>
      <w:sz w:val="18"/>
      <w:szCs w:val="18"/>
      <w:lang w:eastAsia="zh-CN"/>
    </w:rPr>
  </w:style>
  <w:style w:type="character" w:styleId="Whole">
    <w:name w:val="whole"/>
    <w:qFormat/>
    <w:rPr/>
  </w:style>
  <w:style w:type="character" w:styleId="Less">
    <w:name w:val="less"/>
    <w:qFormat/>
    <w:rPr/>
  </w:style>
  <w:style w:type="character" w:styleId="Heading1Char">
    <w:name w:val="Heading 1 Char"/>
    <w:qFormat/>
    <w:rPr>
      <w:rFonts w:ascii="Calibri Light" w:hAnsi="Calibri Light" w:eastAsia="Times New Roman" w:cs="Times New Roman"/>
      <w:b/>
      <w:bCs/>
      <w:kern w:val="2"/>
      <w:sz w:val="32"/>
      <w:szCs w:val="32"/>
      <w:lang w:eastAsia="zh-CN"/>
    </w:rPr>
  </w:style>
  <w:style w:type="character" w:styleId="Unlinkedcategory">
    <w:name w:val="unlinkedcategory"/>
    <w:qFormat/>
    <w:rPr/>
  </w:style>
  <w:style w:type="character" w:styleId="Venueneighborhood">
    <w:name w:val="venueneighborhood"/>
    <w:qFormat/>
    <w:rPr/>
  </w:style>
  <w:style w:type="character" w:styleId="Venuecity">
    <w:name w:val="venuecity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Ggrbig">
    <w:name w:val="g-grbig"/>
    <w:basedOn w:val="Normal"/>
    <w:qFormat/>
    <w:pPr>
      <w:spacing w:before="280" w:after="280"/>
    </w:pPr>
    <w:rPr/>
  </w:style>
  <w:style w:type="paragraph" w:styleId="Gvxs33a">
    <w:name w:val="g_vxs33a"/>
    <w:basedOn w:val="Normal"/>
    <w:qFormat/>
    <w:pPr>
      <w:spacing w:before="280" w:after="280"/>
    </w:pPr>
    <w:rPr/>
  </w:style>
  <w:style w:type="paragraph" w:styleId="Gv33">
    <w:name w:val="g-v33"/>
    <w:basedOn w:val="Normal"/>
    <w:qFormat/>
    <w:pPr>
      <w:spacing w:before="280" w:after="280"/>
    </w:pPr>
    <w:rPr/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Footnote">
    <w:name w:val="Footnote Text"/>
    <w:basedOn w:val="Normal"/>
    <w:pPr>
      <w:bidi w:val="1"/>
      <w:ind w:start="0" w:end="0" w:hanging="0"/>
      <w:jc w:val="start"/>
    </w:pPr>
    <w:rPr>
      <w:rFonts w:eastAsia="Times New Roman"/>
      <w:sz w:val="20"/>
      <w:szCs w:val="20"/>
    </w:rPr>
  </w:style>
  <w:style w:type="paragraph" w:styleId="CommentText">
    <w:name w:val="Comment Text"/>
    <w:basedOn w:val="Normal"/>
    <w:qFormat/>
    <w:pPr/>
    <w:rPr>
      <w:sz w:val="20"/>
      <w:szCs w:val="20"/>
    </w:rPr>
  </w:style>
  <w:style w:type="paragraph" w:styleId="CommentSubject">
    <w:name w:val="Comment Subject"/>
    <w:basedOn w:val="CommentText"/>
    <w:next w:val="CommentText"/>
    <w:qFormat/>
    <w:pPr/>
    <w:rPr>
      <w:b/>
      <w:bCs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oleObject" Target="embeddings/oleObject1.bin"/><Relationship Id="rId7" Type="http://schemas.openxmlformats.org/officeDocument/2006/relationships/image" Target="media/image5.wmf"/><Relationship Id="rId8" Type="http://schemas.openxmlformats.org/officeDocument/2006/relationships/hyperlink" Target="http://www.worldcat.org/title/etudes-syriennes-par-franz-cumont/oclc/459002401&amp;referer=brief_results" TargetMode="External"/><Relationship Id="rId9" Type="http://schemas.openxmlformats.org/officeDocument/2006/relationships/hyperlink" Target="http://www.worldcat.org/title/formation-of-nabatean-art-prohibition-of-a-graven-image-among-the-nabateans/oclc/21442144&amp;referer=brief_results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microsoft.com/office/2006/relationships/vbaProject" Target="vbaProject.bin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2017-05-23T16:54:00Z</dcterms:created>
  <dc:creator>USER</dc:creator>
  <dc:description/>
  <cp:keywords/>
  <dc:language>en-US</dc:language>
  <cp:lastModifiedBy>Ralph Coffman</cp:lastModifiedBy>
  <dcterms:modified xsi:type="dcterms:W3CDTF">2017-06-15T04:12:00Z</dcterms:modified>
  <cp:revision>7</cp:revision>
  <dc:subject/>
  <dc:title>Eur-Roman-Woman on Camel</dc:title>
</cp:coreProperties>
</file>