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1D" w:rsidRDefault="00F058F6" w:rsidP="00F058F6">
      <w:pPr>
        <w:spacing w:after="0"/>
      </w:pPr>
      <w:r>
        <w:t>A2617-Afr-Egy-Scarab-Rope Pattern-Lily-Middle Kingdom-12</w:t>
      </w:r>
      <w:r w:rsidRPr="00F058F6">
        <w:rPr>
          <w:vertAlign w:val="superscript"/>
        </w:rPr>
        <w:t>th</w:t>
      </w:r>
      <w:r>
        <w:t xml:space="preserve"> Dynasty-1991–1778 BCE</w:t>
      </w:r>
    </w:p>
    <w:p w:rsidR="009C271D" w:rsidRDefault="009C271D" w:rsidP="00F058F6">
      <w:pPr>
        <w:spacing w:after="0"/>
      </w:pPr>
      <w:r w:rsidRPr="00713036">
        <w:rPr>
          <w:rFonts w:ascii="Helvetica" w:eastAsia="Times New Roman" w:hAnsi="Helvetica" w:cs="Helvetica"/>
          <w:noProof/>
          <w:color w:val="6A29B9"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 wp14:anchorId="5BEA8E23" wp14:editId="505BBE37">
            <wp:extent cx="1333500" cy="1333500"/>
            <wp:effectExtent l="0" t="0" r="0" b="0"/>
            <wp:docPr id="1" name="Picture 1" descr="EGYPTIAN STEATITE SCARAB AMULET WITH HIEROGLYPHS (476E)">
              <a:hlinkClick xmlns:a="http://schemas.openxmlformats.org/drawingml/2006/main" r:id="rId4" tooltip="&quot;EGYPTIAN STEATITE SCARAB AMULET WITH HIEROGLYPHS (476E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YPTIAN STEATITE SCARAB AMULET WITH HIEROGLYPHS (476E)">
                      <a:hlinkClick r:id="rId4" tooltip="&quot;EGYPTIAN STEATITE SCARAB AMULET WITH HIEROGLYPHS (476E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CDE">
        <w:t xml:space="preserve">                                                             </w:t>
      </w:r>
    </w:p>
    <w:p w:rsidR="00772CDE" w:rsidRDefault="00772CDE" w:rsidP="00F058F6">
      <w:pPr>
        <w:spacing w:after="0"/>
      </w:pPr>
      <w:r>
        <w:t>H: 0.461 in; 11,74 mm</w:t>
      </w:r>
    </w:p>
    <w:p w:rsidR="00F058F6" w:rsidRDefault="00F058F6" w:rsidP="00F058F6">
      <w:pPr>
        <w:spacing w:after="0"/>
        <w:rPr>
          <w:rStyle w:val="Strong"/>
        </w:rPr>
      </w:pPr>
      <w:r>
        <w:rPr>
          <w:rStyle w:val="Strong"/>
        </w:rPr>
        <w:t>Case no.: 2</w:t>
      </w:r>
    </w:p>
    <w:p w:rsidR="00F058F6" w:rsidRDefault="00F058F6" w:rsidP="00F058F6">
      <w:pPr>
        <w:spacing w:after="0"/>
        <w:rPr>
          <w:rStyle w:val="Strong"/>
        </w:rPr>
      </w:pPr>
      <w:r>
        <w:rPr>
          <w:rStyle w:val="Strong"/>
        </w:rPr>
        <w:t>Accession Number:</w:t>
      </w:r>
    </w:p>
    <w:p w:rsidR="00F058F6" w:rsidRDefault="00F058F6" w:rsidP="00F058F6">
      <w:pPr>
        <w:spacing w:after="0"/>
        <w:rPr>
          <w:rStyle w:val="Strong"/>
        </w:rPr>
      </w:pPr>
      <w:r>
        <w:rPr>
          <w:rStyle w:val="Strong"/>
        </w:rPr>
        <w:t>Formal Label:</w:t>
      </w:r>
    </w:p>
    <w:p w:rsidR="00F058F6" w:rsidRDefault="00F058F6" w:rsidP="00F058F6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01603C" w:rsidRDefault="0001603C" w:rsidP="0001603C">
      <w:pPr>
        <w:spacing w:before="100" w:beforeAutospacing="1" w:after="100" w:afterAutospacing="1" w:line="240" w:lineRule="auto"/>
        <w:rPr>
          <w:rFonts w:eastAsia="Times New Roman"/>
          <w:color w:val="auto"/>
        </w:rPr>
      </w:pPr>
      <w:r>
        <w:rPr>
          <w:b/>
          <w:bCs/>
        </w:rPr>
        <w:t>A close parallel to this scarab is in Newberry 1906, Plate XIX, no. 14. Newberry identified this design as 12</w:t>
      </w:r>
      <w:r w:rsidRPr="0001603C">
        <w:rPr>
          <w:b/>
          <w:bCs/>
          <w:vertAlign w:val="superscript"/>
        </w:rPr>
        <w:t>th</w:t>
      </w:r>
      <w:r>
        <w:rPr>
          <w:b/>
          <w:bCs/>
        </w:rPr>
        <w:t xml:space="preserve"> dynasty. The lily motif under which is a marsh motif of curing branches and below which is the hieroglyph for water ties it to the reign of </w:t>
      </w:r>
      <w:r w:rsidRPr="009348D6">
        <w:rPr>
          <w:rFonts w:eastAsia="Times New Roman"/>
          <w:b/>
          <w:bCs/>
          <w:color w:val="auto"/>
          <w:sz w:val="27"/>
          <w:szCs w:val="27"/>
        </w:rPr>
        <w:t>Amenemhat III</w:t>
      </w:r>
      <w:r>
        <w:rPr>
          <w:rFonts w:eastAsia="Times New Roman"/>
          <w:b/>
          <w:bCs/>
          <w:color w:val="auto"/>
          <w:sz w:val="27"/>
          <w:szCs w:val="27"/>
        </w:rPr>
        <w:t xml:space="preserve">, under whose reign the </w:t>
      </w:r>
      <w:r w:rsidRPr="009348D6">
        <w:rPr>
          <w:rFonts w:eastAsia="Times New Roman"/>
          <w:color w:val="auto"/>
        </w:rPr>
        <w:t xml:space="preserve">the marshy </w:t>
      </w:r>
      <w:r w:rsidRPr="009348D6">
        <w:rPr>
          <w:rFonts w:eastAsia="Times New Roman"/>
          <w:color w:val="0000FF"/>
          <w:u w:val="single"/>
        </w:rPr>
        <w:t>Fayyum</w:t>
      </w:r>
      <w:r w:rsidRPr="009348D6">
        <w:rPr>
          <w:rFonts w:eastAsia="Times New Roman"/>
          <w:color w:val="auto"/>
        </w:rPr>
        <w:t xml:space="preserve"> was first exploited. </w:t>
      </w:r>
      <w:r>
        <w:rPr>
          <w:rFonts w:eastAsia="Times New Roman"/>
          <w:color w:val="auto"/>
        </w:rPr>
        <w:t>I</w:t>
      </w:r>
      <w:r>
        <w:rPr>
          <w:rFonts w:eastAsia="Times New Roman"/>
          <w:color w:val="auto"/>
        </w:rPr>
        <w:t>t</w:t>
      </w:r>
      <w:r>
        <w:rPr>
          <w:rFonts w:eastAsia="Times New Roman"/>
          <w:color w:val="auto"/>
        </w:rPr>
        <w:t xml:space="preserve"> is this event that ties it to the current scarab with its depiction of a lily which was one of the most </w:t>
      </w:r>
      <w:r>
        <w:rPr>
          <w:rFonts w:eastAsia="Times New Roman"/>
          <w:color w:val="auto"/>
        </w:rPr>
        <w:t>prominent plants of the Fayyum. The symbol to the upper right may be an alternative hieroglyph for the pharaoh.</w:t>
      </w:r>
    </w:p>
    <w:p w:rsidR="00BE62F6" w:rsidRPr="009348D6" w:rsidRDefault="00BE62F6" w:rsidP="009348D6">
      <w:pPr>
        <w:spacing w:before="100" w:beforeAutospacing="1" w:after="100" w:afterAutospacing="1" w:line="240" w:lineRule="auto"/>
        <w:rPr>
          <w:rFonts w:eastAsia="Times New Roman"/>
          <w:color w:val="auto"/>
        </w:rPr>
      </w:pPr>
    </w:p>
    <w:p w:rsidR="009348D6" w:rsidRDefault="009348D6" w:rsidP="00F058F6">
      <w:pPr>
        <w:pStyle w:val="NormalWeb"/>
      </w:pPr>
    </w:p>
    <w:p w:rsidR="00F058F6" w:rsidRPr="00464E71" w:rsidRDefault="00F058F6" w:rsidP="00F058F6">
      <w:pPr>
        <w:spacing w:after="0"/>
        <w:rPr>
          <w:b/>
          <w:bCs/>
        </w:rPr>
      </w:pPr>
    </w:p>
    <w:p w:rsidR="00F058F6" w:rsidRPr="00EB5DE2" w:rsidRDefault="00F058F6" w:rsidP="00F058F6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</w:p>
    <w:p w:rsidR="00F058F6" w:rsidRDefault="00F058F6" w:rsidP="00F058F6">
      <w:pPr>
        <w:spacing w:after="0"/>
      </w:pPr>
      <w:r>
        <w:rPr>
          <w:rStyle w:val="Strong"/>
        </w:rPr>
        <w:t>Date or Time Horizon:</w:t>
      </w:r>
      <w:r>
        <w:t xml:space="preserve"> </w:t>
      </w:r>
    </w:p>
    <w:p w:rsidR="00F058F6" w:rsidRDefault="00F058F6" w:rsidP="00F058F6">
      <w:pPr>
        <w:spacing w:after="0"/>
      </w:pPr>
      <w:r>
        <w:rPr>
          <w:rStyle w:val="Strong"/>
        </w:rPr>
        <w:t>Geographical Area:</w:t>
      </w:r>
      <w:r>
        <w:t xml:space="preserve"> </w:t>
      </w:r>
    </w:p>
    <w:p w:rsidR="00F058F6" w:rsidRDefault="00F058F6" w:rsidP="00F058F6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01603C" w:rsidRDefault="0001603C" w:rsidP="00F058F6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951480" cy="3553460"/>
            <wp:effectExtent l="0" t="0" r="1270" b="8890"/>
            <wp:docPr id="2" name="Picture 2" descr="https://upload.wikimedia.org/wikipedia/commons/8/83/Egypt-region-map-cities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3/Egypt-region-map-cities-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03C" w:rsidRDefault="0001603C" w:rsidP="00F058F6">
      <w:pPr>
        <w:spacing w:after="0"/>
        <w:rPr>
          <w:b/>
        </w:rPr>
      </w:pPr>
      <w:r w:rsidRPr="0001603C">
        <w:rPr>
          <w:b/>
        </w:rPr>
        <w:t>https://commons.wikimedia.org/wiki/File:Egypt-region-map-cities-2.gif</w:t>
      </w:r>
    </w:p>
    <w:p w:rsidR="00F058F6" w:rsidRPr="0011252F" w:rsidRDefault="00F058F6" w:rsidP="00F058F6">
      <w:pPr>
        <w:spacing w:after="0"/>
        <w:rPr>
          <w:b/>
        </w:rPr>
      </w:pPr>
      <w:r w:rsidRPr="0011252F">
        <w:rPr>
          <w:b/>
        </w:rPr>
        <w:t>GPS coordinates:</w:t>
      </w:r>
    </w:p>
    <w:p w:rsidR="00F058F6" w:rsidRDefault="00F058F6" w:rsidP="00F058F6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F058F6" w:rsidRDefault="00F058F6" w:rsidP="00F058F6">
      <w:pPr>
        <w:spacing w:after="0"/>
      </w:pPr>
      <w:r>
        <w:rPr>
          <w:rStyle w:val="Strong"/>
        </w:rPr>
        <w:t>Media:</w:t>
      </w:r>
      <w:r>
        <w:t xml:space="preserve"> </w:t>
      </w:r>
    </w:p>
    <w:p w:rsidR="00F058F6" w:rsidRDefault="00F058F6" w:rsidP="00F058F6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F058F6" w:rsidRDefault="00F058F6" w:rsidP="00F058F6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F058F6" w:rsidRDefault="00F058F6" w:rsidP="00F058F6">
      <w:pPr>
        <w:spacing w:after="0"/>
        <w:rPr>
          <w:rStyle w:val="Strong"/>
        </w:rPr>
      </w:pPr>
      <w:r>
        <w:rPr>
          <w:rStyle w:val="Strong"/>
        </w:rPr>
        <w:t>Condition:</w:t>
      </w:r>
    </w:p>
    <w:p w:rsidR="00F058F6" w:rsidRDefault="00F058F6" w:rsidP="00F058F6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F058F6" w:rsidRDefault="00F058F6" w:rsidP="00F058F6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936EE7" w:rsidRDefault="00936EE7" w:rsidP="00936EE7">
      <w:pPr>
        <w:pStyle w:val="NormalWeb"/>
      </w:pPr>
      <w:r>
        <w:t xml:space="preserve">The chronology of the 12th dynasty is the most stable of any period before the </w:t>
      </w:r>
      <w:hyperlink r:id="rId7" w:tooltip="New Kingdom" w:history="1">
        <w:r>
          <w:rPr>
            <w:rStyle w:val="Hyperlink"/>
          </w:rPr>
          <w:t>New Kingdom</w:t>
        </w:r>
      </w:hyperlink>
      <w:r>
        <w:t xml:space="preserve">. The Ramses Papyrus canon (1290 BC) in Turin gives 213 years (1991–1778 BC). </w:t>
      </w:r>
      <w:hyperlink r:id="rId8" w:tooltip="Manetho" w:history="1">
        <w:r>
          <w:rPr>
            <w:rStyle w:val="Hyperlink"/>
          </w:rPr>
          <w:t>Manetho</w:t>
        </w:r>
      </w:hyperlink>
      <w:r>
        <w:t xml:space="preserve"> stated that it was based in </w:t>
      </w:r>
      <w:hyperlink r:id="rId9" w:tooltip="Thebes, Egypt" w:history="1">
        <w:r>
          <w:rPr>
            <w:rStyle w:val="Hyperlink"/>
          </w:rPr>
          <w:t>Thebes</w:t>
        </w:r>
      </w:hyperlink>
      <w:r>
        <w:t xml:space="preserve">, but from contemporary records it is clear that the first king moved its capital to a new city named "Amenemhat-itj-tawy" ("Amenemhat the Seizer of the Two Lands"), more simply called </w:t>
      </w:r>
      <w:hyperlink r:id="rId10" w:tooltip="Itjtawy" w:history="1">
        <w:r>
          <w:rPr>
            <w:rStyle w:val="Hyperlink"/>
          </w:rPr>
          <w:t>Itjtawy</w:t>
        </w:r>
      </w:hyperlink>
      <w:r>
        <w:t xml:space="preserve">. The location of Itjtawy has not been found, but is thought to be near the </w:t>
      </w:r>
      <w:hyperlink r:id="rId11" w:tooltip="Fayyum" w:history="1">
        <w:r>
          <w:rPr>
            <w:rStyle w:val="Hyperlink"/>
          </w:rPr>
          <w:t>Fayyum</w:t>
        </w:r>
      </w:hyperlink>
      <w:r>
        <w:t xml:space="preserve">, probably near the royal graveyards at </w:t>
      </w:r>
      <w:hyperlink r:id="rId12" w:tooltip="El-Lisht" w:history="1">
        <w:r>
          <w:rPr>
            <w:rStyle w:val="Hyperlink"/>
          </w:rPr>
          <w:t>el-Lisht</w:t>
        </w:r>
      </w:hyperlink>
      <w:r>
        <w:t xml:space="preserve">. Egyptologists consider this dynasty to be the apex of the </w:t>
      </w:r>
      <w:hyperlink r:id="rId13" w:tooltip="Middle Kingdom of Egypt" w:history="1">
        <w:r>
          <w:rPr>
            <w:rStyle w:val="Hyperlink"/>
          </w:rPr>
          <w:t>Middle Kingdom</w:t>
        </w:r>
      </w:hyperlink>
      <w:r>
        <w:t xml:space="preserve">. </w:t>
      </w:r>
    </w:p>
    <w:p w:rsidR="00936EE7" w:rsidRDefault="00936EE7" w:rsidP="00936EE7">
      <w:pPr>
        <w:pStyle w:val="NormalWeb"/>
      </w:pPr>
      <w:r>
        <w:t xml:space="preserve">The order of its rulers is well known from several sources — two lists recorded at temples in </w:t>
      </w:r>
      <w:hyperlink r:id="rId14" w:tooltip="Abydos, Egypt" w:history="1">
        <w:r>
          <w:rPr>
            <w:rStyle w:val="Hyperlink"/>
          </w:rPr>
          <w:t>Abydos</w:t>
        </w:r>
      </w:hyperlink>
      <w:r>
        <w:t xml:space="preserve"> and one at </w:t>
      </w:r>
      <w:hyperlink r:id="rId15" w:tooltip="Saqqara" w:history="1">
        <w:r>
          <w:rPr>
            <w:rStyle w:val="Hyperlink"/>
          </w:rPr>
          <w:t>Saqqara</w:t>
        </w:r>
      </w:hyperlink>
      <w:r>
        <w:t xml:space="preserve">, as well as </w:t>
      </w:r>
      <w:hyperlink r:id="rId16" w:tooltip="Manetho" w:history="1">
        <w:r>
          <w:rPr>
            <w:rStyle w:val="Hyperlink"/>
          </w:rPr>
          <w:t>Manetho</w:t>
        </w:r>
      </w:hyperlink>
      <w:r>
        <w:t xml:space="preserve">'s work. A recorded date during the reign of </w:t>
      </w:r>
      <w:hyperlink r:id="rId17" w:tooltip="Senusret III" w:history="1">
        <w:r>
          <w:rPr>
            <w:rStyle w:val="Hyperlink"/>
          </w:rPr>
          <w:t>Senusret III</w:t>
        </w:r>
      </w:hyperlink>
      <w:r>
        <w:t xml:space="preserve"> can be correlated to the </w:t>
      </w:r>
      <w:hyperlink r:id="rId18" w:tooltip="Sothic cycle" w:history="1">
        <w:r>
          <w:rPr>
            <w:rStyle w:val="Hyperlink"/>
          </w:rPr>
          <w:t>Sothic cycle</w:t>
        </w:r>
      </w:hyperlink>
      <w:r>
        <w:t>,</w:t>
      </w:r>
      <w:hyperlink r:id="rId19"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consequently many events during this dynasty can be frequently assigned to a specific year. </w:t>
      </w:r>
    </w:p>
    <w:p w:rsidR="00936EE7" w:rsidRPr="009348D6" w:rsidRDefault="00936EE7" w:rsidP="00936EE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sz w:val="27"/>
          <w:szCs w:val="27"/>
        </w:rPr>
      </w:pPr>
      <w:r w:rsidRPr="009348D6">
        <w:rPr>
          <w:rFonts w:eastAsia="Times New Roman"/>
          <w:b/>
          <w:bCs/>
          <w:color w:val="auto"/>
          <w:sz w:val="27"/>
          <w:szCs w:val="27"/>
        </w:rPr>
        <w:t>Amenemhat III</w:t>
      </w:r>
    </w:p>
    <w:p w:rsidR="00936EE7" w:rsidRPr="009348D6" w:rsidRDefault="00936EE7" w:rsidP="00936EE7">
      <w:pPr>
        <w:spacing w:after="0" w:line="240" w:lineRule="auto"/>
        <w:rPr>
          <w:rFonts w:eastAsia="Times New Roman"/>
          <w:color w:val="auto"/>
        </w:rPr>
      </w:pPr>
      <w:r w:rsidRPr="009348D6">
        <w:rPr>
          <w:rFonts w:eastAsia="Times New Roman"/>
          <w:color w:val="auto"/>
        </w:rPr>
        <w:lastRenderedPageBreak/>
        <w:t>Upper part of a statue of Amenemhat III. 12th Dynasty, c. 1800 BC. State Museum of Egyptian Art, Munich</w:t>
      </w:r>
    </w:p>
    <w:p w:rsidR="00936EE7" w:rsidRDefault="00936EE7" w:rsidP="00936EE7">
      <w:pPr>
        <w:spacing w:before="100" w:beforeAutospacing="1" w:after="100" w:afterAutospacing="1" w:line="240" w:lineRule="auto"/>
        <w:rPr>
          <w:rFonts w:eastAsia="Times New Roman"/>
          <w:color w:val="auto"/>
        </w:rPr>
      </w:pPr>
      <w:r w:rsidRPr="009348D6">
        <w:rPr>
          <w:rFonts w:eastAsia="Times New Roman"/>
          <w:color w:val="auto"/>
        </w:rPr>
        <w:t xml:space="preserve">Senusret's successor </w:t>
      </w:r>
      <w:hyperlink r:id="rId20" w:tooltip="Amenemhat III" w:history="1">
        <w:r w:rsidRPr="009348D6">
          <w:rPr>
            <w:rFonts w:eastAsia="Times New Roman"/>
            <w:color w:val="0000FF"/>
            <w:u w:val="single"/>
          </w:rPr>
          <w:t>Amenemhat III</w:t>
        </w:r>
      </w:hyperlink>
      <w:r w:rsidRPr="009348D6">
        <w:rPr>
          <w:rFonts w:eastAsia="Times New Roman"/>
          <w:color w:val="auto"/>
        </w:rPr>
        <w:t xml:space="preserve"> reaffirmed his predecessor's foreign policy. However, after Amenemhat, the energies of this dynasty were largely spent, and the growing troubles of government were left to the dynasty's last ruler, Queen </w:t>
      </w:r>
      <w:hyperlink r:id="rId21" w:tooltip="Sobekneferu" w:history="1">
        <w:r w:rsidRPr="009348D6">
          <w:rPr>
            <w:rFonts w:eastAsia="Times New Roman"/>
            <w:color w:val="0000FF"/>
            <w:u w:val="single"/>
          </w:rPr>
          <w:t>Sobekneferu</w:t>
        </w:r>
      </w:hyperlink>
      <w:r w:rsidRPr="009348D6">
        <w:rPr>
          <w:rFonts w:eastAsia="Times New Roman"/>
          <w:color w:val="auto"/>
        </w:rPr>
        <w:t xml:space="preserve">, to resolve. Amenemhat was remembered for the mortuary temple at </w:t>
      </w:r>
      <w:hyperlink r:id="rId22" w:tooltip="Hawara" w:history="1">
        <w:r w:rsidRPr="009348D6">
          <w:rPr>
            <w:rFonts w:eastAsia="Times New Roman"/>
            <w:color w:val="0000FF"/>
            <w:u w:val="single"/>
          </w:rPr>
          <w:t>Hawara</w:t>
        </w:r>
      </w:hyperlink>
      <w:r w:rsidRPr="009348D6">
        <w:rPr>
          <w:rFonts w:eastAsia="Times New Roman"/>
          <w:color w:val="auto"/>
        </w:rPr>
        <w:t xml:space="preserve"> that he built, known to Herodotus, Diodorus, and </w:t>
      </w:r>
      <w:hyperlink r:id="rId23" w:tooltip="Strabo" w:history="1">
        <w:r w:rsidRPr="009348D6">
          <w:rPr>
            <w:rFonts w:eastAsia="Times New Roman"/>
            <w:color w:val="0000FF"/>
            <w:u w:val="single"/>
          </w:rPr>
          <w:t>Strabo</w:t>
        </w:r>
      </w:hyperlink>
      <w:r w:rsidRPr="009348D6">
        <w:rPr>
          <w:rFonts w:eastAsia="Times New Roman"/>
          <w:color w:val="auto"/>
        </w:rPr>
        <w:t xml:space="preserve"> as the "</w:t>
      </w:r>
      <w:hyperlink r:id="rId24" w:tooltip="Labyrinth" w:history="1">
        <w:r w:rsidRPr="009348D6">
          <w:rPr>
            <w:rFonts w:eastAsia="Times New Roman"/>
            <w:color w:val="0000FF"/>
            <w:u w:val="single"/>
          </w:rPr>
          <w:t>Labyrinth</w:t>
        </w:r>
      </w:hyperlink>
      <w:r w:rsidRPr="009348D6">
        <w:rPr>
          <w:rFonts w:eastAsia="Times New Roman"/>
          <w:color w:val="auto"/>
        </w:rPr>
        <w:t xml:space="preserve">". </w:t>
      </w:r>
    </w:p>
    <w:p w:rsidR="00936EE7" w:rsidRDefault="00936EE7" w:rsidP="00936EE7">
      <w:pPr>
        <w:spacing w:before="100" w:beforeAutospacing="1" w:after="100" w:afterAutospacing="1" w:line="240" w:lineRule="auto"/>
        <w:rPr>
          <w:rFonts w:eastAsia="Times New Roman"/>
          <w:color w:val="auto"/>
        </w:rPr>
      </w:pPr>
      <w:r w:rsidRPr="009348D6">
        <w:rPr>
          <w:rFonts w:eastAsia="Times New Roman"/>
          <w:color w:val="auto"/>
        </w:rPr>
        <w:t xml:space="preserve">Also under his reign the marshy </w:t>
      </w:r>
      <w:hyperlink r:id="rId25" w:tooltip="Fayyum" w:history="1">
        <w:r w:rsidRPr="009348D6">
          <w:rPr>
            <w:rFonts w:eastAsia="Times New Roman"/>
            <w:color w:val="0000FF"/>
            <w:u w:val="single"/>
          </w:rPr>
          <w:t>Fayyum</w:t>
        </w:r>
      </w:hyperlink>
      <w:r w:rsidRPr="009348D6">
        <w:rPr>
          <w:rFonts w:eastAsia="Times New Roman"/>
          <w:color w:val="auto"/>
        </w:rPr>
        <w:t xml:space="preserve"> was first exploited. </w:t>
      </w:r>
      <w:r>
        <w:rPr>
          <w:rFonts w:eastAsia="Times New Roman"/>
          <w:color w:val="auto"/>
        </w:rPr>
        <w:t xml:space="preserve">Iy is this event that ties it to the current scarab with its depiction of a lily which was one of the most prominent plants of the Fayyum/ </w:t>
      </w:r>
    </w:p>
    <w:p w:rsidR="00936EE7" w:rsidRDefault="00936EE7" w:rsidP="00936EE7">
      <w:pPr>
        <w:spacing w:before="100" w:beforeAutospacing="1" w:after="100" w:afterAutospacing="1" w:line="240" w:lineRule="auto"/>
      </w:pPr>
      <w:r>
        <w:t xml:space="preserve">The </w:t>
      </w:r>
      <w:r>
        <w:rPr>
          <w:b/>
          <w:bCs/>
        </w:rPr>
        <w:t>Faiyum</w:t>
      </w:r>
      <w:r>
        <w:t xml:space="preserve"> (</w:t>
      </w:r>
      <w:hyperlink r:id="rId26" w:tooltip="Arabic language" w:history="1">
        <w:r>
          <w:rPr>
            <w:rStyle w:val="Hyperlink"/>
          </w:rPr>
          <w:t>Arabic</w:t>
        </w:r>
      </w:hyperlink>
      <w:r>
        <w:t xml:space="preserve">: </w:t>
      </w:r>
      <w:r>
        <w:rPr>
          <w:rFonts w:hint="cs"/>
          <w:rtl/>
        </w:rPr>
        <w:t>الفيوم</w:t>
      </w:r>
      <w:r>
        <w:t xml:space="preserve">‎ </w:t>
      </w:r>
      <w:r>
        <w:rPr>
          <w:i/>
          <w:iCs/>
        </w:rPr>
        <w:t>el-Fayyūm </w:t>
      </w:r>
      <w:r>
        <w:t xml:space="preserve"> </w:t>
      </w:r>
      <w:r>
        <w:rPr>
          <w:sz w:val="20"/>
          <w:szCs w:val="20"/>
        </w:rPr>
        <w:t>pronounced </w:t>
      </w:r>
      <w:hyperlink r:id="rId27" w:tooltip="Help:IPA/Egyptian Arabic" w:history="1">
        <w:r>
          <w:rPr>
            <w:rStyle w:val="Hyperlink"/>
          </w:rPr>
          <w:t>[elfæjˈjuːm]</w:t>
        </w:r>
      </w:hyperlink>
      <w:r>
        <w:t xml:space="preserve">, borrowed from </w:t>
      </w:r>
      <w:hyperlink r:id="rId28" w:tooltip="Coptic language" w:history="1">
        <w:r>
          <w:rPr>
            <w:rStyle w:val="Hyperlink"/>
          </w:rPr>
          <w:t>Coptic</w:t>
        </w:r>
      </w:hyperlink>
      <w:r>
        <w:t xml:space="preserve">:  ̀Ⲫⲓⲟⲙ or Ⲫⲓⲱⲙ </w:t>
      </w:r>
      <w:r>
        <w:rPr>
          <w:i/>
          <w:iCs/>
        </w:rPr>
        <w:t>Phiom or Phiōm</w:t>
      </w:r>
      <w:r>
        <w:t xml:space="preserve"> from </w:t>
      </w:r>
      <w:hyperlink r:id="rId29" w:tooltip="Ancient Egyptian language" w:history="1">
        <w:r>
          <w:rPr>
            <w:rStyle w:val="Hyperlink"/>
          </w:rPr>
          <w:t>Ancient Egyptian</w:t>
        </w:r>
      </w:hyperlink>
      <w:r>
        <w:t xml:space="preserve">: </w:t>
      </w:r>
      <w:r>
        <w:rPr>
          <w:i/>
          <w:iCs/>
        </w:rPr>
        <w:t>pꜣ ym</w:t>
      </w:r>
      <w:r>
        <w:t xml:space="preserve"> "the Sea, Lake") is a city in </w:t>
      </w:r>
      <w:hyperlink r:id="rId30" w:tooltip="Middle Egypt" w:history="1">
        <w:r>
          <w:rPr>
            <w:rStyle w:val="Hyperlink"/>
          </w:rPr>
          <w:t>Middle Egypt</w:t>
        </w:r>
      </w:hyperlink>
      <w:r>
        <w:t xml:space="preserve">. Located 100 kilometres (62 miles) southwest of </w:t>
      </w:r>
      <w:hyperlink r:id="rId31" w:tooltip="Cairo" w:history="1">
        <w:r>
          <w:rPr>
            <w:rStyle w:val="Hyperlink"/>
          </w:rPr>
          <w:t>Cairo</w:t>
        </w:r>
      </w:hyperlink>
      <w:r>
        <w:t xml:space="preserve">, in the </w:t>
      </w:r>
      <w:hyperlink r:id="rId32" w:tooltip="Faiyum Oasis" w:history="1">
        <w:r>
          <w:rPr>
            <w:rStyle w:val="Hyperlink"/>
          </w:rPr>
          <w:t>Faiyum Oasis</w:t>
        </w:r>
      </w:hyperlink>
      <w:r>
        <w:t xml:space="preserve">, it is the capital of the modern </w:t>
      </w:r>
      <w:hyperlink r:id="rId33" w:tooltip="Faiyum Governorate" w:history="1">
        <w:r>
          <w:rPr>
            <w:rStyle w:val="Hyperlink"/>
          </w:rPr>
          <w:t>Faiyum Governorate</w:t>
        </w:r>
      </w:hyperlink>
      <w:r>
        <w:t xml:space="preserve">. Originally called </w:t>
      </w:r>
      <w:r>
        <w:rPr>
          <w:b/>
          <w:bCs/>
        </w:rPr>
        <w:t>Shedet</w:t>
      </w:r>
      <w:r>
        <w:t xml:space="preserve"> in Egyptian, the Greeks called it </w:t>
      </w:r>
      <w:hyperlink r:id="rId34" w:tooltip="Koine Greek" w:history="1">
        <w:r>
          <w:rPr>
            <w:rStyle w:val="Hyperlink"/>
          </w:rPr>
          <w:t>Koine Greek</w:t>
        </w:r>
      </w:hyperlink>
      <w:r>
        <w:t xml:space="preserve">: Κροκοδειλόπολις </w:t>
      </w:r>
      <w:r>
        <w:rPr>
          <w:b/>
          <w:bCs/>
        </w:rPr>
        <w:t>Krokodilópolis</w:t>
      </w:r>
      <w:r>
        <w:t xml:space="preserve">, the Romans </w:t>
      </w:r>
      <w:r>
        <w:rPr>
          <w:b/>
          <w:bCs/>
        </w:rPr>
        <w:t>Arsinoë</w:t>
      </w:r>
      <w:r>
        <w:t>.</w:t>
      </w:r>
      <w:hyperlink r:id="rId35" w:anchor="cite_note-Riggs-1" w:history="1">
        <w:r>
          <w:rPr>
            <w:rStyle w:val="Hyperlink"/>
            <w:vertAlign w:val="superscript"/>
          </w:rPr>
          <w:t>[1]</w:t>
        </w:r>
      </w:hyperlink>
      <w:r>
        <w:t xml:space="preserve"> It is one of Egypt's oldest cities due to its strategic location near the faiyum Oasis</w:t>
      </w:r>
    </w:p>
    <w:p w:rsidR="00936EE7" w:rsidRDefault="00936EE7" w:rsidP="00936EE7">
      <w:pPr>
        <w:spacing w:before="100" w:beforeAutospacing="1" w:after="100" w:afterAutospacing="1" w:line="240" w:lineRule="auto"/>
        <w:rPr>
          <w:noProof/>
        </w:rPr>
      </w:pPr>
      <w:r>
        <w:t>.</w:t>
      </w:r>
      <w:hyperlink r:id="rId36" w:anchor="cite_note-Riggs-1" w:history="1">
        <w:r>
          <w:rPr>
            <w:rStyle w:val="Hyperlink"/>
            <w:vertAlign w:val="superscript"/>
          </w:rPr>
          <w:t>[1]</w:t>
        </w:r>
      </w:hyperlink>
      <w:r w:rsidRPr="00BE62F6">
        <w:t xml:space="preserve"> </w:t>
      </w:r>
      <w:r>
        <w:rPr>
          <w:noProof/>
        </w:rPr>
        <w:drawing>
          <wp:inline distT="0" distB="0" distL="0" distR="0" wp14:anchorId="1DA4AF2F" wp14:editId="51E15632">
            <wp:extent cx="360045" cy="321945"/>
            <wp:effectExtent l="0" t="0" r="1905" b="1905"/>
            <wp:docPr id="3" name="Picture 3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8D6">
        <w:t xml:space="preserve"> </w:t>
      </w:r>
      <w:r>
        <w:rPr>
          <w:noProof/>
        </w:rPr>
        <w:drawing>
          <wp:inline distT="0" distB="0" distL="0" distR="0" wp14:anchorId="4CB497E0" wp14:editId="473352CD">
            <wp:extent cx="336550" cy="360045"/>
            <wp:effectExtent l="0" t="0" r="6350" b="1905"/>
            <wp:docPr id="4" name="Picture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8D6">
        <w:t xml:space="preserve"> </w:t>
      </w:r>
      <w:r>
        <w:rPr>
          <w:noProof/>
        </w:rPr>
        <w:drawing>
          <wp:inline distT="0" distB="0" distL="0" distR="0" wp14:anchorId="16FC67EE" wp14:editId="6C2BC6B0">
            <wp:extent cx="85090" cy="360045"/>
            <wp:effectExtent l="0" t="0" r="0" b="1905"/>
            <wp:docPr id="5" name="Picture 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8D6">
        <w:t xml:space="preserve"> </w:t>
      </w:r>
      <w:r>
        <w:rPr>
          <w:noProof/>
        </w:rPr>
        <w:drawing>
          <wp:inline distT="0" distB="0" distL="0" distR="0" wp14:anchorId="667234BD" wp14:editId="465E1897">
            <wp:extent cx="360045" cy="360045"/>
            <wp:effectExtent l="0" t="0" r="1905" b="1905"/>
            <wp:docPr id="6" name="Picture 6" descr="G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8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E24235" wp14:editId="5D12AD90">
            <wp:extent cx="212904" cy="3258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8985" cy="3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8D6">
        <w:rPr>
          <w:noProof/>
        </w:rPr>
        <w:t xml:space="preserve"> </w:t>
      </w:r>
    </w:p>
    <w:p w:rsidR="00936EE7" w:rsidRPr="00BE62F6" w:rsidRDefault="00936EE7" w:rsidP="00936EE7">
      <w:pPr>
        <w:spacing w:before="100" w:beforeAutospacing="1" w:after="100" w:afterAutospacing="1" w:line="240" w:lineRule="auto"/>
      </w:pPr>
      <w:r>
        <w:t xml:space="preserve">The </w:t>
      </w:r>
      <w:r>
        <w:rPr>
          <w:b/>
          <w:bCs/>
        </w:rPr>
        <w:t>Faiyum Oasis</w:t>
      </w:r>
      <w:r>
        <w:t xml:space="preserve"> (</w:t>
      </w:r>
      <w:hyperlink r:id="rId42" w:tooltip="Arabic language" w:history="1">
        <w:r>
          <w:rPr>
            <w:rStyle w:val="Hyperlink"/>
          </w:rPr>
          <w:t>Arabic</w:t>
        </w:r>
      </w:hyperlink>
      <w:r>
        <w:t xml:space="preserve">: </w:t>
      </w:r>
      <w:r>
        <w:rPr>
          <w:rFonts w:hint="cs"/>
          <w:rtl/>
        </w:rPr>
        <w:t>واحة الفيوم</w:t>
      </w:r>
      <w:r>
        <w:t xml:space="preserve">‎ </w:t>
      </w:r>
      <w:r>
        <w:rPr>
          <w:i/>
          <w:iCs/>
        </w:rPr>
        <w:t>Waḥet El Fayyum</w:t>
      </w:r>
      <w:r>
        <w:t xml:space="preserve">) is a depression or basin in the desert immediately to the west of the Nile south of </w:t>
      </w:r>
      <w:hyperlink r:id="rId43" w:tooltip="Cairo" w:history="1">
        <w:r>
          <w:rPr>
            <w:rStyle w:val="Hyperlink"/>
          </w:rPr>
          <w:t>Cairo</w:t>
        </w:r>
      </w:hyperlink>
      <w:r>
        <w:t xml:space="preserve">. The extent of the basin area is estimated at between 1,270 km² (490 mi²) and 1700 km² (656 mi²). The basin floor comprises fields watered by a channel of the </w:t>
      </w:r>
      <w:hyperlink r:id="rId44" w:tooltip="Nile" w:history="1">
        <w:r>
          <w:rPr>
            <w:rStyle w:val="Hyperlink"/>
          </w:rPr>
          <w:t>Nile</w:t>
        </w:r>
      </w:hyperlink>
      <w:r>
        <w:t xml:space="preserve">, the </w:t>
      </w:r>
      <w:hyperlink r:id="rId45" w:tooltip="Bahr Yussef" w:history="1">
        <w:r>
          <w:rPr>
            <w:rStyle w:val="Hyperlink"/>
          </w:rPr>
          <w:t>Bahr Yussef</w:t>
        </w:r>
      </w:hyperlink>
      <w:r>
        <w:t xml:space="preserve">, as it drains into a desert depression to the west of the </w:t>
      </w:r>
      <w:hyperlink r:id="rId46" w:tooltip="Nile Valley" w:history="1">
        <w:r>
          <w:rPr>
            <w:rStyle w:val="Hyperlink"/>
          </w:rPr>
          <w:t>Nile Valley</w:t>
        </w:r>
      </w:hyperlink>
      <w:r>
        <w:t xml:space="preserve">. The Bahr Yussef veers west through a narrow neck of land north of </w:t>
      </w:r>
      <w:hyperlink r:id="rId47" w:tooltip="Ihnasya (page does not exist)" w:history="1">
        <w:r>
          <w:rPr>
            <w:rStyle w:val="Hyperlink"/>
          </w:rPr>
          <w:t>Ihnasya</w:t>
        </w:r>
      </w:hyperlink>
      <w:r>
        <w:t xml:space="preserve">, between the archaeological sites of </w:t>
      </w:r>
      <w:hyperlink r:id="rId48" w:tooltip="El Lahun" w:history="1">
        <w:r>
          <w:rPr>
            <w:rStyle w:val="Hyperlink"/>
          </w:rPr>
          <w:t>El Lahun</w:t>
        </w:r>
      </w:hyperlink>
      <w:r>
        <w:t xml:space="preserve"> and </w:t>
      </w:r>
      <w:hyperlink r:id="rId49" w:tooltip="Gurob (page does not exist)" w:history="1">
        <w:r>
          <w:rPr>
            <w:rStyle w:val="Hyperlink"/>
          </w:rPr>
          <w:t>Gurob</w:t>
        </w:r>
      </w:hyperlink>
      <w:r>
        <w:t xml:space="preserve"> near </w:t>
      </w:r>
      <w:hyperlink r:id="rId50" w:tooltip="Hawara" w:history="1">
        <w:r>
          <w:rPr>
            <w:rStyle w:val="Hyperlink"/>
          </w:rPr>
          <w:t>Hawara</w:t>
        </w:r>
      </w:hyperlink>
      <w:r>
        <w:t>; it then branches out, providing rich agricultural land in the Faiyum basin. The lake was freshwater in prehistory.</w:t>
      </w:r>
    </w:p>
    <w:p w:rsidR="00F058F6" w:rsidRDefault="00F058F6" w:rsidP="00F058F6">
      <w:pPr>
        <w:spacing w:after="0"/>
      </w:pPr>
      <w:bookmarkStart w:id="0" w:name="_GoBack"/>
      <w:bookmarkEnd w:id="0"/>
      <w:r>
        <w:rPr>
          <w:b/>
          <w:bCs/>
        </w:rPr>
        <w:t>References:</w:t>
      </w:r>
    </w:p>
    <w:p w:rsidR="00F058F6" w:rsidRDefault="00F058F6" w:rsidP="00F058F6">
      <w:pPr>
        <w:spacing w:after="0"/>
      </w:pPr>
    </w:p>
    <w:p w:rsidR="00F058F6" w:rsidRDefault="0001603C" w:rsidP="0001603C">
      <w:r>
        <w:rPr>
          <w:rStyle w:val="subfielddata"/>
        </w:rPr>
        <w:t xml:space="preserve">Newberry, Percy. 1906. </w:t>
      </w:r>
      <w:r>
        <w:rPr>
          <w:rStyle w:val="subfielddata"/>
        </w:rPr>
        <w:t>Egyptian antiquities: scarabs; an introduction to the study of Egyptian seals and signet rings, with forty-four plates and one hundred and si</w:t>
      </w:r>
      <w:r>
        <w:rPr>
          <w:rStyle w:val="subfielddata"/>
        </w:rPr>
        <w:t xml:space="preserve">xteen illustrations in the text. </w:t>
      </w:r>
      <w:r>
        <w:rPr>
          <w:rStyle w:val="subfielddata"/>
        </w:rPr>
        <w:t>London</w:t>
      </w:r>
      <w:r>
        <w:rPr>
          <w:rStyle w:val="subfielddata"/>
        </w:rPr>
        <w:t>:</w:t>
      </w:r>
      <w:r>
        <w:rPr>
          <w:rStyle w:val="subfielddata"/>
        </w:rPr>
        <w:t xml:space="preserve"> A. Constable and co., ltd</w:t>
      </w:r>
    </w:p>
    <w:p w:rsidR="00F058F6" w:rsidRDefault="00F058F6" w:rsidP="00F058F6"/>
    <w:p w:rsidR="00F058F6" w:rsidRDefault="00F058F6"/>
    <w:p w:rsidR="00F058F6" w:rsidRDefault="00F058F6"/>
    <w:sectPr w:rsidR="00F0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D"/>
    <w:rsid w:val="00000A8B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3A8"/>
    <w:rsid w:val="00015419"/>
    <w:rsid w:val="0001603C"/>
    <w:rsid w:val="00016FF2"/>
    <w:rsid w:val="0002331C"/>
    <w:rsid w:val="00023A53"/>
    <w:rsid w:val="000255C7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65EC"/>
    <w:rsid w:val="00057591"/>
    <w:rsid w:val="0006067B"/>
    <w:rsid w:val="00061034"/>
    <w:rsid w:val="00063450"/>
    <w:rsid w:val="00064B15"/>
    <w:rsid w:val="00067380"/>
    <w:rsid w:val="000679F9"/>
    <w:rsid w:val="000731D2"/>
    <w:rsid w:val="00074D62"/>
    <w:rsid w:val="000763C9"/>
    <w:rsid w:val="0008062F"/>
    <w:rsid w:val="000810AD"/>
    <w:rsid w:val="000840EC"/>
    <w:rsid w:val="000864CC"/>
    <w:rsid w:val="0008719A"/>
    <w:rsid w:val="00090E08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C1792"/>
    <w:rsid w:val="000C1F80"/>
    <w:rsid w:val="000D25A1"/>
    <w:rsid w:val="000D4A27"/>
    <w:rsid w:val="000D5E5B"/>
    <w:rsid w:val="000D767A"/>
    <w:rsid w:val="000D7727"/>
    <w:rsid w:val="000D78AE"/>
    <w:rsid w:val="000E0B38"/>
    <w:rsid w:val="000E250A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43"/>
    <w:rsid w:val="000F62D0"/>
    <w:rsid w:val="00100BE0"/>
    <w:rsid w:val="00101B32"/>
    <w:rsid w:val="00105E27"/>
    <w:rsid w:val="0011445A"/>
    <w:rsid w:val="00116885"/>
    <w:rsid w:val="00121775"/>
    <w:rsid w:val="00121AA8"/>
    <w:rsid w:val="00122C81"/>
    <w:rsid w:val="0012378F"/>
    <w:rsid w:val="001250C2"/>
    <w:rsid w:val="00125E71"/>
    <w:rsid w:val="0012791E"/>
    <w:rsid w:val="00130899"/>
    <w:rsid w:val="00133D11"/>
    <w:rsid w:val="001354BE"/>
    <w:rsid w:val="0013677F"/>
    <w:rsid w:val="0013694F"/>
    <w:rsid w:val="001378C8"/>
    <w:rsid w:val="00137CFE"/>
    <w:rsid w:val="001400BD"/>
    <w:rsid w:val="00140610"/>
    <w:rsid w:val="00141783"/>
    <w:rsid w:val="001433B0"/>
    <w:rsid w:val="00143D3F"/>
    <w:rsid w:val="0014452F"/>
    <w:rsid w:val="00144819"/>
    <w:rsid w:val="00147A24"/>
    <w:rsid w:val="00147FC0"/>
    <w:rsid w:val="001515C1"/>
    <w:rsid w:val="00151F74"/>
    <w:rsid w:val="0015260D"/>
    <w:rsid w:val="00153E6B"/>
    <w:rsid w:val="0016218E"/>
    <w:rsid w:val="00166CAE"/>
    <w:rsid w:val="00170AFD"/>
    <w:rsid w:val="001734F7"/>
    <w:rsid w:val="0017528D"/>
    <w:rsid w:val="001753E5"/>
    <w:rsid w:val="001762CB"/>
    <w:rsid w:val="0018142E"/>
    <w:rsid w:val="0018452A"/>
    <w:rsid w:val="00184CE4"/>
    <w:rsid w:val="00185F53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483F"/>
    <w:rsid w:val="001B5589"/>
    <w:rsid w:val="001B6666"/>
    <w:rsid w:val="001C1026"/>
    <w:rsid w:val="001C7F59"/>
    <w:rsid w:val="001D02CA"/>
    <w:rsid w:val="001D25DE"/>
    <w:rsid w:val="001E668E"/>
    <w:rsid w:val="001F088B"/>
    <w:rsid w:val="001F26D0"/>
    <w:rsid w:val="001F30F7"/>
    <w:rsid w:val="001F339F"/>
    <w:rsid w:val="001F3932"/>
    <w:rsid w:val="001F4C35"/>
    <w:rsid w:val="001F52EC"/>
    <w:rsid w:val="001F7060"/>
    <w:rsid w:val="001F75B2"/>
    <w:rsid w:val="0020034C"/>
    <w:rsid w:val="00204AC9"/>
    <w:rsid w:val="002061C9"/>
    <w:rsid w:val="00211C5F"/>
    <w:rsid w:val="00216BF7"/>
    <w:rsid w:val="00220BA6"/>
    <w:rsid w:val="002213A7"/>
    <w:rsid w:val="002259B5"/>
    <w:rsid w:val="00225AFA"/>
    <w:rsid w:val="00225EA5"/>
    <w:rsid w:val="00230E15"/>
    <w:rsid w:val="002330D8"/>
    <w:rsid w:val="00234918"/>
    <w:rsid w:val="00237BDF"/>
    <w:rsid w:val="00241B12"/>
    <w:rsid w:val="00244178"/>
    <w:rsid w:val="00244A57"/>
    <w:rsid w:val="00245C9F"/>
    <w:rsid w:val="00246CF5"/>
    <w:rsid w:val="002507D6"/>
    <w:rsid w:val="00256C9E"/>
    <w:rsid w:val="00261E42"/>
    <w:rsid w:val="002620C1"/>
    <w:rsid w:val="00264FFA"/>
    <w:rsid w:val="00265845"/>
    <w:rsid w:val="00265DF6"/>
    <w:rsid w:val="002679A9"/>
    <w:rsid w:val="00267D2D"/>
    <w:rsid w:val="002701AE"/>
    <w:rsid w:val="002715C9"/>
    <w:rsid w:val="002736F0"/>
    <w:rsid w:val="00276DA4"/>
    <w:rsid w:val="00280449"/>
    <w:rsid w:val="00280CF6"/>
    <w:rsid w:val="00281DEC"/>
    <w:rsid w:val="00292C68"/>
    <w:rsid w:val="002935C4"/>
    <w:rsid w:val="00295171"/>
    <w:rsid w:val="00295224"/>
    <w:rsid w:val="00295F84"/>
    <w:rsid w:val="00297642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E5355"/>
    <w:rsid w:val="002E73E0"/>
    <w:rsid w:val="002E75FD"/>
    <w:rsid w:val="002F3518"/>
    <w:rsid w:val="002F57D7"/>
    <w:rsid w:val="002F7F58"/>
    <w:rsid w:val="003004FD"/>
    <w:rsid w:val="0030173C"/>
    <w:rsid w:val="003035AD"/>
    <w:rsid w:val="0030477D"/>
    <w:rsid w:val="003074BF"/>
    <w:rsid w:val="0031303A"/>
    <w:rsid w:val="0031366D"/>
    <w:rsid w:val="003164B2"/>
    <w:rsid w:val="00326D90"/>
    <w:rsid w:val="003315F0"/>
    <w:rsid w:val="00333515"/>
    <w:rsid w:val="00333B5B"/>
    <w:rsid w:val="00334365"/>
    <w:rsid w:val="00335F32"/>
    <w:rsid w:val="00336745"/>
    <w:rsid w:val="00343579"/>
    <w:rsid w:val="0035248E"/>
    <w:rsid w:val="003531FC"/>
    <w:rsid w:val="00356C8F"/>
    <w:rsid w:val="0036000E"/>
    <w:rsid w:val="00362165"/>
    <w:rsid w:val="003625E3"/>
    <w:rsid w:val="00362E0D"/>
    <w:rsid w:val="003650F6"/>
    <w:rsid w:val="00372977"/>
    <w:rsid w:val="00373637"/>
    <w:rsid w:val="003849A2"/>
    <w:rsid w:val="00387877"/>
    <w:rsid w:val="00387921"/>
    <w:rsid w:val="00390AE1"/>
    <w:rsid w:val="00390F60"/>
    <w:rsid w:val="003910A0"/>
    <w:rsid w:val="00391E27"/>
    <w:rsid w:val="003935C9"/>
    <w:rsid w:val="003A03A0"/>
    <w:rsid w:val="003A1B3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38BF"/>
    <w:rsid w:val="003C3A9A"/>
    <w:rsid w:val="003C717A"/>
    <w:rsid w:val="003D4354"/>
    <w:rsid w:val="003D51BC"/>
    <w:rsid w:val="003D5C88"/>
    <w:rsid w:val="003E02D1"/>
    <w:rsid w:val="003E2208"/>
    <w:rsid w:val="003E5116"/>
    <w:rsid w:val="003E5A3E"/>
    <w:rsid w:val="003F11E2"/>
    <w:rsid w:val="003F4BD0"/>
    <w:rsid w:val="003F68F2"/>
    <w:rsid w:val="0040068A"/>
    <w:rsid w:val="00400B47"/>
    <w:rsid w:val="0040209D"/>
    <w:rsid w:val="004049D2"/>
    <w:rsid w:val="0040589F"/>
    <w:rsid w:val="00405957"/>
    <w:rsid w:val="00406E32"/>
    <w:rsid w:val="004075CC"/>
    <w:rsid w:val="0041027E"/>
    <w:rsid w:val="00413A2C"/>
    <w:rsid w:val="00414AA7"/>
    <w:rsid w:val="0041771B"/>
    <w:rsid w:val="00417F59"/>
    <w:rsid w:val="004210D1"/>
    <w:rsid w:val="0043112F"/>
    <w:rsid w:val="00432817"/>
    <w:rsid w:val="004343AB"/>
    <w:rsid w:val="00434E35"/>
    <w:rsid w:val="00434FD0"/>
    <w:rsid w:val="004353B7"/>
    <w:rsid w:val="00437D74"/>
    <w:rsid w:val="004405FF"/>
    <w:rsid w:val="004406CD"/>
    <w:rsid w:val="00442C94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81522"/>
    <w:rsid w:val="0048572A"/>
    <w:rsid w:val="004857A2"/>
    <w:rsid w:val="00486C98"/>
    <w:rsid w:val="00487C1D"/>
    <w:rsid w:val="00487E6F"/>
    <w:rsid w:val="00490F0C"/>
    <w:rsid w:val="0049365B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44C1"/>
    <w:rsid w:val="004B4AE0"/>
    <w:rsid w:val="004B572D"/>
    <w:rsid w:val="004B6DDC"/>
    <w:rsid w:val="004B70AD"/>
    <w:rsid w:val="004B7F20"/>
    <w:rsid w:val="004C1666"/>
    <w:rsid w:val="004C2745"/>
    <w:rsid w:val="004C4402"/>
    <w:rsid w:val="004D3F1C"/>
    <w:rsid w:val="004D4DE4"/>
    <w:rsid w:val="004D6657"/>
    <w:rsid w:val="004D70FD"/>
    <w:rsid w:val="004E1476"/>
    <w:rsid w:val="004E2A87"/>
    <w:rsid w:val="004E47AF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6D9D"/>
    <w:rsid w:val="005074DC"/>
    <w:rsid w:val="00507DE4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3E43"/>
    <w:rsid w:val="0055605E"/>
    <w:rsid w:val="00557DDD"/>
    <w:rsid w:val="00561237"/>
    <w:rsid w:val="005613FA"/>
    <w:rsid w:val="00565A06"/>
    <w:rsid w:val="00565E79"/>
    <w:rsid w:val="005715CF"/>
    <w:rsid w:val="00573D69"/>
    <w:rsid w:val="005744F7"/>
    <w:rsid w:val="00574665"/>
    <w:rsid w:val="00585872"/>
    <w:rsid w:val="0058696B"/>
    <w:rsid w:val="005900BF"/>
    <w:rsid w:val="0059079B"/>
    <w:rsid w:val="005908C8"/>
    <w:rsid w:val="00594CA7"/>
    <w:rsid w:val="005958BF"/>
    <w:rsid w:val="005A281C"/>
    <w:rsid w:val="005A370D"/>
    <w:rsid w:val="005A584A"/>
    <w:rsid w:val="005A5886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3B36"/>
    <w:rsid w:val="005D55B5"/>
    <w:rsid w:val="005D6837"/>
    <w:rsid w:val="005D7100"/>
    <w:rsid w:val="005D7E85"/>
    <w:rsid w:val="005E137C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60069B"/>
    <w:rsid w:val="006010CD"/>
    <w:rsid w:val="00601358"/>
    <w:rsid w:val="0060280A"/>
    <w:rsid w:val="00602F0F"/>
    <w:rsid w:val="0060666B"/>
    <w:rsid w:val="00606873"/>
    <w:rsid w:val="00606CC0"/>
    <w:rsid w:val="00610A8D"/>
    <w:rsid w:val="00610FEA"/>
    <w:rsid w:val="0061305A"/>
    <w:rsid w:val="00613814"/>
    <w:rsid w:val="00613CB2"/>
    <w:rsid w:val="006169DE"/>
    <w:rsid w:val="00617E16"/>
    <w:rsid w:val="00620FF9"/>
    <w:rsid w:val="00624C49"/>
    <w:rsid w:val="00625FA1"/>
    <w:rsid w:val="00630C35"/>
    <w:rsid w:val="00632BC4"/>
    <w:rsid w:val="00635C2C"/>
    <w:rsid w:val="00643B4E"/>
    <w:rsid w:val="00644D5E"/>
    <w:rsid w:val="00645459"/>
    <w:rsid w:val="00650B89"/>
    <w:rsid w:val="00654273"/>
    <w:rsid w:val="0065464B"/>
    <w:rsid w:val="006570FE"/>
    <w:rsid w:val="00657333"/>
    <w:rsid w:val="006579D5"/>
    <w:rsid w:val="00657BC9"/>
    <w:rsid w:val="00660C59"/>
    <w:rsid w:val="006614E7"/>
    <w:rsid w:val="00661BE5"/>
    <w:rsid w:val="006678BA"/>
    <w:rsid w:val="0067271A"/>
    <w:rsid w:val="006741E9"/>
    <w:rsid w:val="00680EA0"/>
    <w:rsid w:val="00682054"/>
    <w:rsid w:val="006841E3"/>
    <w:rsid w:val="0068769B"/>
    <w:rsid w:val="0069044F"/>
    <w:rsid w:val="00691D67"/>
    <w:rsid w:val="00692AA7"/>
    <w:rsid w:val="00695D09"/>
    <w:rsid w:val="00697C69"/>
    <w:rsid w:val="006A1723"/>
    <w:rsid w:val="006A4CB2"/>
    <w:rsid w:val="006A4D1D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01115"/>
    <w:rsid w:val="00704E98"/>
    <w:rsid w:val="0070580E"/>
    <w:rsid w:val="00710D4F"/>
    <w:rsid w:val="00712EF3"/>
    <w:rsid w:val="00715017"/>
    <w:rsid w:val="0071685E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31633"/>
    <w:rsid w:val="007347CA"/>
    <w:rsid w:val="00740A23"/>
    <w:rsid w:val="0074307A"/>
    <w:rsid w:val="007438CA"/>
    <w:rsid w:val="00743B98"/>
    <w:rsid w:val="00743C27"/>
    <w:rsid w:val="0075288D"/>
    <w:rsid w:val="007600B7"/>
    <w:rsid w:val="00760656"/>
    <w:rsid w:val="00760C81"/>
    <w:rsid w:val="00761377"/>
    <w:rsid w:val="007619C7"/>
    <w:rsid w:val="0076267C"/>
    <w:rsid w:val="00764E3F"/>
    <w:rsid w:val="00766A94"/>
    <w:rsid w:val="00772CDE"/>
    <w:rsid w:val="00773E45"/>
    <w:rsid w:val="007762E3"/>
    <w:rsid w:val="00782F3E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0B12"/>
    <w:rsid w:val="007B15DF"/>
    <w:rsid w:val="007B4241"/>
    <w:rsid w:val="007B4B87"/>
    <w:rsid w:val="007B6F68"/>
    <w:rsid w:val="007C6E6A"/>
    <w:rsid w:val="007C7C7E"/>
    <w:rsid w:val="007D2674"/>
    <w:rsid w:val="007D4BF7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1586"/>
    <w:rsid w:val="00832335"/>
    <w:rsid w:val="00832A6F"/>
    <w:rsid w:val="008332AE"/>
    <w:rsid w:val="00833B27"/>
    <w:rsid w:val="008364D5"/>
    <w:rsid w:val="0083790F"/>
    <w:rsid w:val="00840071"/>
    <w:rsid w:val="0084445B"/>
    <w:rsid w:val="00844756"/>
    <w:rsid w:val="0084512D"/>
    <w:rsid w:val="00846546"/>
    <w:rsid w:val="00847E6F"/>
    <w:rsid w:val="008523ED"/>
    <w:rsid w:val="00853470"/>
    <w:rsid w:val="008534AB"/>
    <w:rsid w:val="00857356"/>
    <w:rsid w:val="008648A2"/>
    <w:rsid w:val="00873B98"/>
    <w:rsid w:val="00876FF1"/>
    <w:rsid w:val="00880CB9"/>
    <w:rsid w:val="00882772"/>
    <w:rsid w:val="0088661E"/>
    <w:rsid w:val="00886D0D"/>
    <w:rsid w:val="008902D5"/>
    <w:rsid w:val="00891EEC"/>
    <w:rsid w:val="0089303B"/>
    <w:rsid w:val="00893734"/>
    <w:rsid w:val="00895033"/>
    <w:rsid w:val="008A268A"/>
    <w:rsid w:val="008A5FFE"/>
    <w:rsid w:val="008B0CC5"/>
    <w:rsid w:val="008B5348"/>
    <w:rsid w:val="008B6A70"/>
    <w:rsid w:val="008C3D33"/>
    <w:rsid w:val="008C4C70"/>
    <w:rsid w:val="008D04E5"/>
    <w:rsid w:val="008D6E77"/>
    <w:rsid w:val="008E2CD0"/>
    <w:rsid w:val="008E4511"/>
    <w:rsid w:val="008E4763"/>
    <w:rsid w:val="008E6BC3"/>
    <w:rsid w:val="008F0F5F"/>
    <w:rsid w:val="008F382A"/>
    <w:rsid w:val="008F397D"/>
    <w:rsid w:val="009021C3"/>
    <w:rsid w:val="009053CB"/>
    <w:rsid w:val="00905A1F"/>
    <w:rsid w:val="00913238"/>
    <w:rsid w:val="00914248"/>
    <w:rsid w:val="00914E07"/>
    <w:rsid w:val="0091697D"/>
    <w:rsid w:val="00924591"/>
    <w:rsid w:val="009245E7"/>
    <w:rsid w:val="00924E0B"/>
    <w:rsid w:val="00934441"/>
    <w:rsid w:val="009348D6"/>
    <w:rsid w:val="00934EF0"/>
    <w:rsid w:val="009356AB"/>
    <w:rsid w:val="00935DC5"/>
    <w:rsid w:val="00936EE7"/>
    <w:rsid w:val="00937DC7"/>
    <w:rsid w:val="00940989"/>
    <w:rsid w:val="00941002"/>
    <w:rsid w:val="00945BD6"/>
    <w:rsid w:val="009466B0"/>
    <w:rsid w:val="009469B7"/>
    <w:rsid w:val="009525F8"/>
    <w:rsid w:val="00956792"/>
    <w:rsid w:val="009572F6"/>
    <w:rsid w:val="0096052A"/>
    <w:rsid w:val="00960FCD"/>
    <w:rsid w:val="00962E59"/>
    <w:rsid w:val="009662D3"/>
    <w:rsid w:val="009667F4"/>
    <w:rsid w:val="00971210"/>
    <w:rsid w:val="00971FF8"/>
    <w:rsid w:val="009728F2"/>
    <w:rsid w:val="009751A9"/>
    <w:rsid w:val="00976101"/>
    <w:rsid w:val="009800E4"/>
    <w:rsid w:val="0098730F"/>
    <w:rsid w:val="00990905"/>
    <w:rsid w:val="00994028"/>
    <w:rsid w:val="00994034"/>
    <w:rsid w:val="00997EF2"/>
    <w:rsid w:val="009A0148"/>
    <w:rsid w:val="009A2413"/>
    <w:rsid w:val="009A2DFF"/>
    <w:rsid w:val="009A3573"/>
    <w:rsid w:val="009A361E"/>
    <w:rsid w:val="009A3946"/>
    <w:rsid w:val="009B0B5D"/>
    <w:rsid w:val="009B2658"/>
    <w:rsid w:val="009B439C"/>
    <w:rsid w:val="009B5387"/>
    <w:rsid w:val="009B67BC"/>
    <w:rsid w:val="009C0173"/>
    <w:rsid w:val="009C1D96"/>
    <w:rsid w:val="009C271D"/>
    <w:rsid w:val="009C3042"/>
    <w:rsid w:val="009C7233"/>
    <w:rsid w:val="009D199B"/>
    <w:rsid w:val="009D2124"/>
    <w:rsid w:val="009D360D"/>
    <w:rsid w:val="009D38DD"/>
    <w:rsid w:val="009D40A6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1DCB"/>
    <w:rsid w:val="009F5BA3"/>
    <w:rsid w:val="00A00008"/>
    <w:rsid w:val="00A017A9"/>
    <w:rsid w:val="00A01B7E"/>
    <w:rsid w:val="00A02430"/>
    <w:rsid w:val="00A03CA7"/>
    <w:rsid w:val="00A05A14"/>
    <w:rsid w:val="00A10376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4B30"/>
    <w:rsid w:val="00A35543"/>
    <w:rsid w:val="00A35F56"/>
    <w:rsid w:val="00A36D81"/>
    <w:rsid w:val="00A37CE3"/>
    <w:rsid w:val="00A4053A"/>
    <w:rsid w:val="00A41EBE"/>
    <w:rsid w:val="00A4400A"/>
    <w:rsid w:val="00A44C8B"/>
    <w:rsid w:val="00A459DC"/>
    <w:rsid w:val="00A507DC"/>
    <w:rsid w:val="00A51186"/>
    <w:rsid w:val="00A526C9"/>
    <w:rsid w:val="00A54B53"/>
    <w:rsid w:val="00A57FD3"/>
    <w:rsid w:val="00A606FB"/>
    <w:rsid w:val="00A6174D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A84"/>
    <w:rsid w:val="00A86970"/>
    <w:rsid w:val="00A87AE9"/>
    <w:rsid w:val="00A92EE6"/>
    <w:rsid w:val="00A9363B"/>
    <w:rsid w:val="00A94D00"/>
    <w:rsid w:val="00A96311"/>
    <w:rsid w:val="00AA1BA8"/>
    <w:rsid w:val="00AA37DC"/>
    <w:rsid w:val="00AA5B10"/>
    <w:rsid w:val="00AA6FA6"/>
    <w:rsid w:val="00AB0266"/>
    <w:rsid w:val="00AB430B"/>
    <w:rsid w:val="00AB46DA"/>
    <w:rsid w:val="00AB5331"/>
    <w:rsid w:val="00AB70CB"/>
    <w:rsid w:val="00AC1122"/>
    <w:rsid w:val="00AC20C2"/>
    <w:rsid w:val="00AC461F"/>
    <w:rsid w:val="00AC4FD8"/>
    <w:rsid w:val="00AC550B"/>
    <w:rsid w:val="00AC6715"/>
    <w:rsid w:val="00AD1E4E"/>
    <w:rsid w:val="00AD2981"/>
    <w:rsid w:val="00AD2ECF"/>
    <w:rsid w:val="00AD5D03"/>
    <w:rsid w:val="00AD67B4"/>
    <w:rsid w:val="00AD7CBE"/>
    <w:rsid w:val="00AE1156"/>
    <w:rsid w:val="00AE65FA"/>
    <w:rsid w:val="00AE698F"/>
    <w:rsid w:val="00AF1656"/>
    <w:rsid w:val="00AF1B5C"/>
    <w:rsid w:val="00AF236F"/>
    <w:rsid w:val="00AF2711"/>
    <w:rsid w:val="00AF46BE"/>
    <w:rsid w:val="00AF5627"/>
    <w:rsid w:val="00B01DA8"/>
    <w:rsid w:val="00B038F7"/>
    <w:rsid w:val="00B04C6E"/>
    <w:rsid w:val="00B064B2"/>
    <w:rsid w:val="00B074C7"/>
    <w:rsid w:val="00B078C6"/>
    <w:rsid w:val="00B114D7"/>
    <w:rsid w:val="00B11822"/>
    <w:rsid w:val="00B11B49"/>
    <w:rsid w:val="00B12096"/>
    <w:rsid w:val="00B130E1"/>
    <w:rsid w:val="00B14E0A"/>
    <w:rsid w:val="00B277F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1BBA"/>
    <w:rsid w:val="00B531B5"/>
    <w:rsid w:val="00B5407E"/>
    <w:rsid w:val="00B55317"/>
    <w:rsid w:val="00B55BF3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0F91"/>
    <w:rsid w:val="00B81064"/>
    <w:rsid w:val="00B81742"/>
    <w:rsid w:val="00B82DEB"/>
    <w:rsid w:val="00B9276F"/>
    <w:rsid w:val="00B938EF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B44E3"/>
    <w:rsid w:val="00BB4FDC"/>
    <w:rsid w:val="00BB50A8"/>
    <w:rsid w:val="00BB5A96"/>
    <w:rsid w:val="00BC37B0"/>
    <w:rsid w:val="00BC3B4C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2F6"/>
    <w:rsid w:val="00BE6371"/>
    <w:rsid w:val="00BF3981"/>
    <w:rsid w:val="00BF4F3D"/>
    <w:rsid w:val="00C009BA"/>
    <w:rsid w:val="00C00CED"/>
    <w:rsid w:val="00C0411D"/>
    <w:rsid w:val="00C06500"/>
    <w:rsid w:val="00C068AF"/>
    <w:rsid w:val="00C1070D"/>
    <w:rsid w:val="00C12278"/>
    <w:rsid w:val="00C133DE"/>
    <w:rsid w:val="00C15F02"/>
    <w:rsid w:val="00C20953"/>
    <w:rsid w:val="00C228EE"/>
    <w:rsid w:val="00C24578"/>
    <w:rsid w:val="00C265A3"/>
    <w:rsid w:val="00C3133D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5FD4"/>
    <w:rsid w:val="00C66798"/>
    <w:rsid w:val="00C720A2"/>
    <w:rsid w:val="00C72443"/>
    <w:rsid w:val="00C75C58"/>
    <w:rsid w:val="00C75E21"/>
    <w:rsid w:val="00C8048A"/>
    <w:rsid w:val="00C80D25"/>
    <w:rsid w:val="00C8755B"/>
    <w:rsid w:val="00C9063B"/>
    <w:rsid w:val="00C914FC"/>
    <w:rsid w:val="00C9158C"/>
    <w:rsid w:val="00C93373"/>
    <w:rsid w:val="00C94A70"/>
    <w:rsid w:val="00C96D78"/>
    <w:rsid w:val="00CA0AC0"/>
    <w:rsid w:val="00CA2BB5"/>
    <w:rsid w:val="00CA4371"/>
    <w:rsid w:val="00CA75C0"/>
    <w:rsid w:val="00CB01C2"/>
    <w:rsid w:val="00CB0DF2"/>
    <w:rsid w:val="00CB1F29"/>
    <w:rsid w:val="00CB69E4"/>
    <w:rsid w:val="00CB7668"/>
    <w:rsid w:val="00CB775D"/>
    <w:rsid w:val="00CC3924"/>
    <w:rsid w:val="00CC3CB1"/>
    <w:rsid w:val="00CC5976"/>
    <w:rsid w:val="00CD4ABF"/>
    <w:rsid w:val="00CD592B"/>
    <w:rsid w:val="00CE3875"/>
    <w:rsid w:val="00CE40BF"/>
    <w:rsid w:val="00CE7085"/>
    <w:rsid w:val="00CF05AB"/>
    <w:rsid w:val="00CF08C7"/>
    <w:rsid w:val="00CF127E"/>
    <w:rsid w:val="00CF3CFF"/>
    <w:rsid w:val="00CF3E4E"/>
    <w:rsid w:val="00CF4D6F"/>
    <w:rsid w:val="00CF6E20"/>
    <w:rsid w:val="00D02452"/>
    <w:rsid w:val="00D0510E"/>
    <w:rsid w:val="00D058BA"/>
    <w:rsid w:val="00D067AE"/>
    <w:rsid w:val="00D13DF1"/>
    <w:rsid w:val="00D22714"/>
    <w:rsid w:val="00D23B6C"/>
    <w:rsid w:val="00D24C23"/>
    <w:rsid w:val="00D3001A"/>
    <w:rsid w:val="00D35951"/>
    <w:rsid w:val="00D36A3B"/>
    <w:rsid w:val="00D3752A"/>
    <w:rsid w:val="00D430AC"/>
    <w:rsid w:val="00D43AFA"/>
    <w:rsid w:val="00D44BA0"/>
    <w:rsid w:val="00D47D13"/>
    <w:rsid w:val="00D50967"/>
    <w:rsid w:val="00D5291C"/>
    <w:rsid w:val="00D54207"/>
    <w:rsid w:val="00D55A83"/>
    <w:rsid w:val="00D57086"/>
    <w:rsid w:val="00D61739"/>
    <w:rsid w:val="00D61E76"/>
    <w:rsid w:val="00D635BB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600B"/>
    <w:rsid w:val="00DA7015"/>
    <w:rsid w:val="00DB07D8"/>
    <w:rsid w:val="00DB18F1"/>
    <w:rsid w:val="00DB26EE"/>
    <w:rsid w:val="00DB2B26"/>
    <w:rsid w:val="00DB2E4F"/>
    <w:rsid w:val="00DB314C"/>
    <w:rsid w:val="00DB45B8"/>
    <w:rsid w:val="00DB4CE3"/>
    <w:rsid w:val="00DB4F58"/>
    <w:rsid w:val="00DB5D9F"/>
    <w:rsid w:val="00DB5FEA"/>
    <w:rsid w:val="00DB5FEF"/>
    <w:rsid w:val="00DC5202"/>
    <w:rsid w:val="00DC6845"/>
    <w:rsid w:val="00DD3895"/>
    <w:rsid w:val="00DD60F9"/>
    <w:rsid w:val="00DE5A18"/>
    <w:rsid w:val="00DF0BB4"/>
    <w:rsid w:val="00DF2E42"/>
    <w:rsid w:val="00DF4744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2127F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1853"/>
    <w:rsid w:val="00E4233F"/>
    <w:rsid w:val="00E43705"/>
    <w:rsid w:val="00E44261"/>
    <w:rsid w:val="00E455D9"/>
    <w:rsid w:val="00E5400E"/>
    <w:rsid w:val="00E54521"/>
    <w:rsid w:val="00E5484E"/>
    <w:rsid w:val="00E6204C"/>
    <w:rsid w:val="00E621C6"/>
    <w:rsid w:val="00E629A4"/>
    <w:rsid w:val="00E6415F"/>
    <w:rsid w:val="00E7189D"/>
    <w:rsid w:val="00E74C63"/>
    <w:rsid w:val="00E74D59"/>
    <w:rsid w:val="00E7744B"/>
    <w:rsid w:val="00E82913"/>
    <w:rsid w:val="00E82A42"/>
    <w:rsid w:val="00E84529"/>
    <w:rsid w:val="00E868B6"/>
    <w:rsid w:val="00E91D5E"/>
    <w:rsid w:val="00E9478C"/>
    <w:rsid w:val="00EA096C"/>
    <w:rsid w:val="00EA1731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84C"/>
    <w:rsid w:val="00EC3F79"/>
    <w:rsid w:val="00EC4D94"/>
    <w:rsid w:val="00EC5540"/>
    <w:rsid w:val="00EC7318"/>
    <w:rsid w:val="00ED0726"/>
    <w:rsid w:val="00ED2068"/>
    <w:rsid w:val="00ED370A"/>
    <w:rsid w:val="00ED396F"/>
    <w:rsid w:val="00ED4B72"/>
    <w:rsid w:val="00ED6052"/>
    <w:rsid w:val="00ED7E0C"/>
    <w:rsid w:val="00EE1C78"/>
    <w:rsid w:val="00EE2A94"/>
    <w:rsid w:val="00EE3E64"/>
    <w:rsid w:val="00EE574A"/>
    <w:rsid w:val="00EF0D3D"/>
    <w:rsid w:val="00EF3308"/>
    <w:rsid w:val="00EF4FEC"/>
    <w:rsid w:val="00EF5F14"/>
    <w:rsid w:val="00EF654E"/>
    <w:rsid w:val="00EF66F4"/>
    <w:rsid w:val="00EF709F"/>
    <w:rsid w:val="00EF7F5B"/>
    <w:rsid w:val="00F0302D"/>
    <w:rsid w:val="00F0379A"/>
    <w:rsid w:val="00F058F6"/>
    <w:rsid w:val="00F06095"/>
    <w:rsid w:val="00F068FD"/>
    <w:rsid w:val="00F071D7"/>
    <w:rsid w:val="00F15D7B"/>
    <w:rsid w:val="00F20E81"/>
    <w:rsid w:val="00F23D31"/>
    <w:rsid w:val="00F265FE"/>
    <w:rsid w:val="00F26BC5"/>
    <w:rsid w:val="00F27ABB"/>
    <w:rsid w:val="00F302FD"/>
    <w:rsid w:val="00F30B0B"/>
    <w:rsid w:val="00F33EF9"/>
    <w:rsid w:val="00F4257E"/>
    <w:rsid w:val="00F4313F"/>
    <w:rsid w:val="00F450FA"/>
    <w:rsid w:val="00F50644"/>
    <w:rsid w:val="00F51F90"/>
    <w:rsid w:val="00F55B4C"/>
    <w:rsid w:val="00F63996"/>
    <w:rsid w:val="00F646CF"/>
    <w:rsid w:val="00F72653"/>
    <w:rsid w:val="00F737B0"/>
    <w:rsid w:val="00F745EE"/>
    <w:rsid w:val="00F754B9"/>
    <w:rsid w:val="00F7597C"/>
    <w:rsid w:val="00F768BC"/>
    <w:rsid w:val="00F76A9E"/>
    <w:rsid w:val="00F81B99"/>
    <w:rsid w:val="00F81F5E"/>
    <w:rsid w:val="00F869EC"/>
    <w:rsid w:val="00F96808"/>
    <w:rsid w:val="00F9770F"/>
    <w:rsid w:val="00F97C1D"/>
    <w:rsid w:val="00F97C9D"/>
    <w:rsid w:val="00FA1380"/>
    <w:rsid w:val="00FA1C3A"/>
    <w:rsid w:val="00FA28E4"/>
    <w:rsid w:val="00FA3A7C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562B"/>
    <w:rsid w:val="00FB59B8"/>
    <w:rsid w:val="00FB71D4"/>
    <w:rsid w:val="00FB745B"/>
    <w:rsid w:val="00FB77B8"/>
    <w:rsid w:val="00FB7936"/>
    <w:rsid w:val="00FC0583"/>
    <w:rsid w:val="00FC17A0"/>
    <w:rsid w:val="00FC32B4"/>
    <w:rsid w:val="00FC420F"/>
    <w:rsid w:val="00FD075C"/>
    <w:rsid w:val="00FD0FBA"/>
    <w:rsid w:val="00FD1D6D"/>
    <w:rsid w:val="00FD452B"/>
    <w:rsid w:val="00FD7737"/>
    <w:rsid w:val="00FD7BD3"/>
    <w:rsid w:val="00FE0919"/>
    <w:rsid w:val="00FE1B29"/>
    <w:rsid w:val="00FE227E"/>
    <w:rsid w:val="00FE2A5C"/>
    <w:rsid w:val="00FE2EF5"/>
    <w:rsid w:val="00FE4E60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DFAE"/>
  <w15:chartTrackingRefBased/>
  <w15:docId w15:val="{2E209E8D-D309-45C9-97B0-72E30A84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8D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F058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58F6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F058F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48D6"/>
    <w:rPr>
      <w:rFonts w:eastAsia="Times New Roman"/>
      <w:b/>
      <w:bCs/>
      <w:color w:val="auto"/>
      <w:sz w:val="27"/>
      <w:szCs w:val="27"/>
    </w:rPr>
  </w:style>
  <w:style w:type="character" w:customStyle="1" w:styleId="mw-headline">
    <w:name w:val="mw-headline"/>
    <w:basedOn w:val="DefaultParagraphFont"/>
    <w:rsid w:val="009348D6"/>
  </w:style>
  <w:style w:type="character" w:customStyle="1" w:styleId="ipa">
    <w:name w:val="ipa"/>
    <w:basedOn w:val="DefaultParagraphFont"/>
    <w:rsid w:val="009348D6"/>
  </w:style>
  <w:style w:type="character" w:customStyle="1" w:styleId="subfielddata">
    <w:name w:val="subfielddata"/>
    <w:basedOn w:val="DefaultParagraphFont"/>
    <w:rsid w:val="00016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0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4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iddle_Kingdom_of_Egypt" TargetMode="External"/><Relationship Id="rId18" Type="http://schemas.openxmlformats.org/officeDocument/2006/relationships/hyperlink" Target="https://en.wikipedia.org/wiki/Sothic_cycle" TargetMode="External"/><Relationship Id="rId26" Type="http://schemas.openxmlformats.org/officeDocument/2006/relationships/hyperlink" Target="https://en.wikipedia.org/wiki/Arabic_language" TargetMode="External"/><Relationship Id="rId39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Sobekneferu" TargetMode="External"/><Relationship Id="rId34" Type="http://schemas.openxmlformats.org/officeDocument/2006/relationships/hyperlink" Target="https://en.wikipedia.org/wiki/Koine_Greek" TargetMode="External"/><Relationship Id="rId42" Type="http://schemas.openxmlformats.org/officeDocument/2006/relationships/hyperlink" Target="https://en.wikipedia.org/wiki/Arabic_language" TargetMode="External"/><Relationship Id="rId47" Type="http://schemas.openxmlformats.org/officeDocument/2006/relationships/hyperlink" Target="https://en.wikipedia.org/w/index.php?title=Ihnasya&amp;action=edit&amp;redlink=1" TargetMode="External"/><Relationship Id="rId50" Type="http://schemas.openxmlformats.org/officeDocument/2006/relationships/hyperlink" Target="https://en.wikipedia.org/wiki/Hawara" TargetMode="External"/><Relationship Id="rId7" Type="http://schemas.openxmlformats.org/officeDocument/2006/relationships/hyperlink" Target="https://en.wikipedia.org/wiki/New_Kingdom" TargetMode="External"/><Relationship Id="rId12" Type="http://schemas.openxmlformats.org/officeDocument/2006/relationships/hyperlink" Target="https://en.wikipedia.org/wiki/El-Lisht" TargetMode="External"/><Relationship Id="rId17" Type="http://schemas.openxmlformats.org/officeDocument/2006/relationships/hyperlink" Target="https://en.wikipedia.org/wiki/Senusret_III" TargetMode="External"/><Relationship Id="rId25" Type="http://schemas.openxmlformats.org/officeDocument/2006/relationships/hyperlink" Target="https://en.wikipedia.org/wiki/Fayyum" TargetMode="External"/><Relationship Id="rId33" Type="http://schemas.openxmlformats.org/officeDocument/2006/relationships/hyperlink" Target="https://en.wikipedia.org/wiki/Faiyum_Governorate" TargetMode="External"/><Relationship Id="rId38" Type="http://schemas.openxmlformats.org/officeDocument/2006/relationships/image" Target="media/image4.png"/><Relationship Id="rId46" Type="http://schemas.openxmlformats.org/officeDocument/2006/relationships/hyperlink" Target="https://en.wikipedia.org/wiki/Nile_Valle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anetho" TargetMode="External"/><Relationship Id="rId20" Type="http://schemas.openxmlformats.org/officeDocument/2006/relationships/hyperlink" Target="https://en.wikipedia.org/wiki/Amenemhat_III" TargetMode="External"/><Relationship Id="rId29" Type="http://schemas.openxmlformats.org/officeDocument/2006/relationships/hyperlink" Target="https://en.wikipedia.org/wiki/Ancient_Egyptian_language" TargetMode="External"/><Relationship Id="rId41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s://en.wikipedia.org/wiki/Fayyum" TargetMode="External"/><Relationship Id="rId24" Type="http://schemas.openxmlformats.org/officeDocument/2006/relationships/hyperlink" Target="https://en.wikipedia.org/wiki/Labyrinth" TargetMode="External"/><Relationship Id="rId32" Type="http://schemas.openxmlformats.org/officeDocument/2006/relationships/hyperlink" Target="https://en.wikipedia.org/wiki/Faiyum_Oasis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hyperlink" Target="https://en.wikipedia.org/wiki/Bahr_Yusse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Saqqara" TargetMode="External"/><Relationship Id="rId23" Type="http://schemas.openxmlformats.org/officeDocument/2006/relationships/hyperlink" Target="https://en.wikipedia.org/wiki/Strabo" TargetMode="External"/><Relationship Id="rId28" Type="http://schemas.openxmlformats.org/officeDocument/2006/relationships/hyperlink" Target="https://en.wikipedia.org/wiki/Coptic_language" TargetMode="External"/><Relationship Id="rId36" Type="http://schemas.openxmlformats.org/officeDocument/2006/relationships/hyperlink" Target="https://en.wikipedia.org/wiki/Faiyum" TargetMode="External"/><Relationship Id="rId49" Type="http://schemas.openxmlformats.org/officeDocument/2006/relationships/hyperlink" Target="https://en.wikipedia.org/w/index.php?title=Gurob&amp;action=edit&amp;redlink=1" TargetMode="External"/><Relationship Id="rId10" Type="http://schemas.openxmlformats.org/officeDocument/2006/relationships/hyperlink" Target="https://en.wikipedia.org/wiki/Itjtawy" TargetMode="External"/><Relationship Id="rId19" Type="http://schemas.openxmlformats.org/officeDocument/2006/relationships/hyperlink" Target="https://en.wikipedia.org/wiki/Twelfth_Dynasty_of_Egypt" TargetMode="External"/><Relationship Id="rId31" Type="http://schemas.openxmlformats.org/officeDocument/2006/relationships/hyperlink" Target="https://en.wikipedia.org/wiki/Cairo" TargetMode="External"/><Relationship Id="rId44" Type="http://schemas.openxmlformats.org/officeDocument/2006/relationships/hyperlink" Target="https://en.wikipedia.org/wiki/Nile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ebay.com/itm/EGYPTIAN-STEATITE-SCARAB-AMULET-WITH-HIEROGLYPHS-476E/153022927346?ssPageName=STRK:MEBIDX:IT&amp;_trksid=p2057872.m2749.l2648" TargetMode="External"/><Relationship Id="rId9" Type="http://schemas.openxmlformats.org/officeDocument/2006/relationships/hyperlink" Target="https://en.wikipedia.org/wiki/Thebes,_Egypt" TargetMode="External"/><Relationship Id="rId14" Type="http://schemas.openxmlformats.org/officeDocument/2006/relationships/hyperlink" Target="https://en.wikipedia.org/wiki/Abydos,_Egypt" TargetMode="External"/><Relationship Id="rId22" Type="http://schemas.openxmlformats.org/officeDocument/2006/relationships/hyperlink" Target="https://en.wikipedia.org/wiki/Hawara" TargetMode="External"/><Relationship Id="rId27" Type="http://schemas.openxmlformats.org/officeDocument/2006/relationships/hyperlink" Target="https://en.wikipedia.org/wiki/Help:IPA/Egyptian_Arabic" TargetMode="External"/><Relationship Id="rId30" Type="http://schemas.openxmlformats.org/officeDocument/2006/relationships/hyperlink" Target="https://en.wikipedia.org/wiki/Middle_Egypt" TargetMode="External"/><Relationship Id="rId35" Type="http://schemas.openxmlformats.org/officeDocument/2006/relationships/hyperlink" Target="https://en.wikipedia.org/wiki/Faiyum" TargetMode="External"/><Relationship Id="rId43" Type="http://schemas.openxmlformats.org/officeDocument/2006/relationships/hyperlink" Target="https://en.wikipedia.org/wiki/Cairo" TargetMode="External"/><Relationship Id="rId48" Type="http://schemas.openxmlformats.org/officeDocument/2006/relationships/hyperlink" Target="https://en.wikipedia.org/wiki/El_Lahun" TargetMode="External"/><Relationship Id="rId8" Type="http://schemas.openxmlformats.org/officeDocument/2006/relationships/hyperlink" Target="https://en.wikipedia.org/wiki/Manetho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5</cp:revision>
  <dcterms:created xsi:type="dcterms:W3CDTF">2018-09-04T12:23:00Z</dcterms:created>
  <dcterms:modified xsi:type="dcterms:W3CDTF">2018-09-04T22:41:00Z</dcterms:modified>
</cp:coreProperties>
</file>