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50E1" w:rsidRDefault="002A50E1">
      <w:r>
        <w:t>A000-EUR</w:t>
      </w:r>
      <w:r w:rsidRPr="005B08B4">
        <w:rPr>
          <w:b/>
        </w:rPr>
        <w:t>-</w:t>
      </w:r>
      <w:r w:rsidR="00600128">
        <w:rPr>
          <w:b/>
        </w:rPr>
        <w:t>Scotland</w:t>
      </w:r>
      <w:r w:rsidR="005B08B4">
        <w:t>-</w:t>
      </w:r>
      <w:r w:rsidR="00600128">
        <w:t>Petroglyph Panel-Anthropomorph-</w:t>
      </w:r>
      <w:r>
        <w:t xml:space="preserve">H </w:t>
      </w:r>
      <w:r w:rsidR="009048D1">
        <w:t>F</w:t>
      </w:r>
      <w:r>
        <w:t>igures</w:t>
      </w:r>
      <w:r w:rsidR="009048D1">
        <w:t>-</w:t>
      </w:r>
      <w:r w:rsidR="00600128">
        <w:t>Malachite</w:t>
      </w:r>
      <w:r>
        <w:t>-</w:t>
      </w:r>
      <w:proofErr w:type="spellStart"/>
      <w:r w:rsidR="00600128">
        <w:t>Pictish</w:t>
      </w:r>
      <w:proofErr w:type="spellEnd"/>
      <w:r w:rsidR="00600128">
        <w:t xml:space="preserve"> Culture</w:t>
      </w:r>
      <w:r w:rsidR="009048D1">
        <w:t>-</w:t>
      </w:r>
      <w:r w:rsidR="005B08B4">
        <w:t>5400-4700 BCE</w:t>
      </w:r>
    </w:p>
    <w:p w:rsidR="002A50E1" w:rsidRDefault="00BF55D8">
      <w:r>
        <w:rPr>
          <w:noProof/>
        </w:rPr>
        <w:lastRenderedPageBreak/>
        <w:drawing>
          <wp:inline distT="0" distB="0" distL="0" distR="0" wp14:anchorId="65D7D232" wp14:editId="6119FEF9">
            <wp:extent cx="6391275" cy="6924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91275" cy="6924675"/>
                    </a:xfrm>
                    <a:prstGeom prst="rect">
                      <a:avLst/>
                    </a:prstGeom>
                  </pic:spPr>
                </pic:pic>
              </a:graphicData>
            </a:graphic>
          </wp:inline>
        </w:drawing>
      </w:r>
      <w:r w:rsidR="007B3580">
        <w:rPr>
          <w:noProof/>
        </w:rPr>
        <w:lastRenderedPageBreak/>
        <w:drawing>
          <wp:inline distT="0" distB="0" distL="0" distR="0">
            <wp:extent cx="4133850" cy="3518940"/>
            <wp:effectExtent l="0" t="0" r="0" b="5715"/>
            <wp:docPr id="5" name="Picture 5" descr="https://i.ebayimg.com/images/g/~GIAAOSwjXNa7SpR/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GIAAOSwjXNa7SpR/s-l160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a:off x="0" y="0"/>
                      <a:ext cx="4135814" cy="3520612"/>
                    </a:xfrm>
                    <a:prstGeom prst="rect">
                      <a:avLst/>
                    </a:prstGeom>
                    <a:noFill/>
                    <a:ln>
                      <a:noFill/>
                    </a:ln>
                  </pic:spPr>
                </pic:pic>
              </a:graphicData>
            </a:graphic>
          </wp:inline>
        </w:drawing>
      </w:r>
    </w:p>
    <w:p w:rsidR="005B08B4" w:rsidRDefault="00292B63" w:rsidP="0075617C">
      <w:pPr>
        <w:rPr>
          <w:rStyle w:val="plainlinks"/>
        </w:rPr>
      </w:pPr>
      <w:r>
        <w:t>Fig</w:t>
      </w:r>
      <w:r w:rsidR="007B3580">
        <w:t>s</w:t>
      </w:r>
      <w:r>
        <w:t xml:space="preserve">. </w:t>
      </w:r>
      <w:r w:rsidR="007B3580">
        <w:t xml:space="preserve">1-2. </w:t>
      </w:r>
      <w:r w:rsidR="007B3580">
        <w:rPr>
          <w:b/>
        </w:rPr>
        <w:t>Serbia-</w:t>
      </w:r>
      <w:proofErr w:type="spellStart"/>
      <w:r w:rsidR="007B3580">
        <w:t>P</w:t>
      </w:r>
      <w:r w:rsidR="007B3580" w:rsidRPr="0075617C">
        <w:t>ločnik</w:t>
      </w:r>
      <w:proofErr w:type="spellEnd"/>
      <w:r w:rsidR="007B3580">
        <w:t>-</w:t>
      </w:r>
      <w:proofErr w:type="spellStart"/>
      <w:r w:rsidR="007B3580">
        <w:t>Vinca</w:t>
      </w:r>
      <w:proofErr w:type="spellEnd"/>
      <w:r w:rsidR="007B3580">
        <w:t xml:space="preserve"> Culture-Petroglyph Panel-Anthropomorph and Three Copper-incised H Figures-Polished Malachite Ore-Chalcolithic Period-5400-4700 BCE</w:t>
      </w:r>
    </w:p>
    <w:p w:rsidR="0075617C" w:rsidRDefault="0075617C" w:rsidP="0075617C">
      <w:pPr>
        <w:rPr>
          <w:rStyle w:val="Strong"/>
        </w:rPr>
      </w:pPr>
      <w:r>
        <w:rPr>
          <w:rStyle w:val="Strong"/>
        </w:rPr>
        <w:t>Case No.:</w:t>
      </w:r>
      <w:r w:rsidR="00596ACB">
        <w:rPr>
          <w:rStyle w:val="Strong"/>
        </w:rPr>
        <w:t xml:space="preserve"> 3</w:t>
      </w:r>
    </w:p>
    <w:p w:rsidR="0075617C" w:rsidRDefault="0075617C" w:rsidP="0075617C">
      <w:pPr>
        <w:rPr>
          <w:rStyle w:val="Strong"/>
        </w:rPr>
      </w:pPr>
      <w:r>
        <w:rPr>
          <w:rStyle w:val="Strong"/>
        </w:rPr>
        <w:t>Accession No.</w:t>
      </w:r>
    </w:p>
    <w:p w:rsidR="0075617C" w:rsidRDefault="0075617C" w:rsidP="0075617C">
      <w:pPr>
        <w:rPr>
          <w:rStyle w:val="Strong"/>
        </w:rPr>
      </w:pPr>
      <w:r>
        <w:rPr>
          <w:rStyle w:val="Strong"/>
        </w:rPr>
        <w:t>Formal Label:</w:t>
      </w:r>
    </w:p>
    <w:p w:rsidR="00BF55D8" w:rsidRDefault="0075617C" w:rsidP="00BF55D8">
      <w:pPr>
        <w:rPr>
          <w:rFonts w:ascii="Arial" w:hAnsi="Arial" w:cs="Arial"/>
          <w:color w:val="222222"/>
          <w:sz w:val="21"/>
          <w:szCs w:val="21"/>
        </w:rPr>
      </w:pPr>
      <w:r w:rsidRPr="00ED4BF3">
        <w:rPr>
          <w:b/>
          <w:bCs/>
        </w:rPr>
        <w:t>Display Description:</w:t>
      </w:r>
      <w:r w:rsidR="00BF55D8">
        <w:rPr>
          <w:rFonts w:ascii="Arial" w:hAnsi="Arial" w:cs="Arial"/>
          <w:color w:val="222222"/>
          <w:sz w:val="21"/>
          <w:szCs w:val="21"/>
        </w:rPr>
        <w:t xml:space="preserve"> </w:t>
      </w:r>
    </w:p>
    <w:p w:rsidR="00BF55D8" w:rsidRDefault="00BF55D8" w:rsidP="00BF55D8">
      <w:pPr>
        <w:rPr>
          <w:rFonts w:ascii="Arial" w:hAnsi="Arial" w:cs="Arial"/>
          <w:color w:val="222222"/>
          <w:sz w:val="21"/>
          <w:szCs w:val="21"/>
        </w:rPr>
      </w:pPr>
      <w:proofErr w:type="spellStart"/>
      <w:r>
        <w:rPr>
          <w:rFonts w:ascii="Arial" w:hAnsi="Arial" w:cs="Arial"/>
          <w:color w:val="222222"/>
          <w:sz w:val="21"/>
          <w:szCs w:val="21"/>
        </w:rPr>
        <w:t>Pictish</w:t>
      </w:r>
      <w:proofErr w:type="spellEnd"/>
      <w:r>
        <w:rPr>
          <w:rFonts w:ascii="Arial" w:hAnsi="Arial" w:cs="Arial"/>
          <w:color w:val="222222"/>
          <w:sz w:val="21"/>
          <w:szCs w:val="21"/>
        </w:rPr>
        <w:t xml:space="preserve"> stones </w:t>
      </w:r>
      <w:r>
        <w:rPr>
          <w:rFonts w:ascii="Arial" w:hAnsi="Arial" w:cs="Arial"/>
          <w:color w:val="222222"/>
          <w:sz w:val="21"/>
          <w:szCs w:val="21"/>
        </w:rPr>
        <w:t>have been classified into</w:t>
      </w:r>
      <w:r>
        <w:rPr>
          <w:rFonts w:ascii="Arial" w:hAnsi="Arial" w:cs="Arial"/>
          <w:color w:val="222222"/>
          <w:sz w:val="21"/>
          <w:szCs w:val="21"/>
        </w:rPr>
        <w:t xml:space="preserve"> three groups.</w:t>
      </w:r>
      <w:hyperlink r:id="rId7" w:anchor="cite_note-2" w:history="1">
        <w:r>
          <w:rPr>
            <w:rStyle w:val="Hyperlink"/>
            <w:rFonts w:ascii="Arial" w:hAnsi="Arial" w:cs="Arial"/>
            <w:color w:val="0B0080"/>
            <w:sz w:val="17"/>
            <w:szCs w:val="17"/>
            <w:u w:val="none"/>
            <w:vertAlign w:val="superscript"/>
          </w:rPr>
          <w:t>[</w:t>
        </w:r>
        <w:r>
          <w:rPr>
            <w:rStyle w:val="Hyperlink"/>
            <w:rFonts w:ascii="Arial" w:hAnsi="Arial" w:cs="Arial"/>
            <w:color w:val="0B0080"/>
            <w:sz w:val="17"/>
            <w:szCs w:val="17"/>
            <w:u w:val="none"/>
            <w:vertAlign w:val="superscript"/>
          </w:rPr>
          <w:t>2</w:t>
        </w:r>
        <w:r>
          <w:rPr>
            <w:rStyle w:val="Hyperlink"/>
            <w:rFonts w:ascii="Arial" w:hAnsi="Arial" w:cs="Arial"/>
            <w:color w:val="0B0080"/>
            <w:sz w:val="17"/>
            <w:szCs w:val="17"/>
            <w:u w:val="none"/>
            <w:vertAlign w:val="superscript"/>
          </w:rPr>
          <w:t>]</w:t>
        </w:r>
      </w:hyperlink>
      <w:r>
        <w:rPr>
          <w:rFonts w:ascii="Arial" w:hAnsi="Arial" w:cs="Arial"/>
          <w:color w:val="222222"/>
          <w:sz w:val="21"/>
          <w:szCs w:val="21"/>
        </w:rPr>
        <w:t> </w:t>
      </w:r>
      <w:proofErr w:type="gramStart"/>
      <w:r>
        <w:rPr>
          <w:rFonts w:ascii="Arial" w:hAnsi="Arial" w:cs="Arial"/>
          <w:color w:val="222222"/>
          <w:sz w:val="21"/>
          <w:szCs w:val="21"/>
        </w:rPr>
        <w:t>in</w:t>
      </w:r>
      <w:proofErr w:type="gramEnd"/>
      <w:r>
        <w:rPr>
          <w:rFonts w:ascii="Arial" w:hAnsi="Arial" w:cs="Arial"/>
          <w:color w:val="222222"/>
          <w:sz w:val="21"/>
          <w:szCs w:val="21"/>
        </w:rPr>
        <w:t xml:space="preserve"> which</w:t>
      </w:r>
      <w:r>
        <w:rPr>
          <w:rFonts w:ascii="Arial" w:hAnsi="Arial" w:cs="Arial"/>
          <w:color w:val="222222"/>
          <w:sz w:val="21"/>
          <w:szCs w:val="21"/>
        </w:rPr>
        <w:t xml:space="preserve"> both Class I and II stones were being produced</w:t>
      </w:r>
      <w:r>
        <w:rPr>
          <w:rFonts w:ascii="Arial" w:hAnsi="Arial" w:cs="Arial"/>
          <w:color w:val="222222"/>
          <w:sz w:val="21"/>
          <w:szCs w:val="21"/>
        </w:rPr>
        <w:t xml:space="preserve"> simultaneously</w:t>
      </w:r>
      <w:r w:rsidR="006C3DBD">
        <w:rPr>
          <w:rFonts w:ascii="Arial" w:hAnsi="Arial" w:cs="Arial"/>
          <w:color w:val="222222"/>
          <w:sz w:val="21"/>
          <w:szCs w:val="21"/>
        </w:rPr>
        <w:t>. This stone falls into Class 1</w:t>
      </w:r>
      <w:proofErr w:type="gramStart"/>
      <w:r w:rsidR="006C3DBD">
        <w:rPr>
          <w:rFonts w:ascii="Arial" w:hAnsi="Arial" w:cs="Arial"/>
          <w:color w:val="222222"/>
          <w:sz w:val="21"/>
          <w:szCs w:val="21"/>
        </w:rPr>
        <w:t>.</w:t>
      </w:r>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"https://en.wikipedia.org/wiki/Pictish_stone" \l "cite_note-pictishstones.org.uk-3"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u w:val="none"/>
          <w:vertAlign w:val="superscript"/>
        </w:rPr>
        <w:t>[3</w:t>
      </w:r>
      <w:bookmarkStart w:id="0" w:name="_GoBack"/>
      <w:bookmarkEnd w:id="0"/>
      <w:r>
        <w:rPr>
          <w:rStyle w:val="Hyperlink"/>
          <w:rFonts w:ascii="Arial" w:hAnsi="Arial" w:cs="Arial"/>
          <w:color w:val="0B0080"/>
          <w:sz w:val="17"/>
          <w:szCs w:val="17"/>
          <w:u w:val="none"/>
          <w:vertAlign w:val="superscript"/>
        </w:rPr>
        <w:t>]</w:t>
      </w:r>
      <w:r>
        <w:rPr>
          <w:rFonts w:ascii="Arial" w:hAnsi="Arial" w:cs="Arial"/>
          <w:color w:val="222222"/>
          <w:sz w:val="17"/>
          <w:szCs w:val="17"/>
          <w:vertAlign w:val="superscript"/>
        </w:rPr>
        <w:fldChar w:fldCharType="end"/>
      </w:r>
      <w:r w:rsidR="006C3DBD">
        <w:rPr>
          <w:rFonts w:ascii="Arial" w:hAnsi="Arial" w:cs="Arial"/>
          <w:color w:val="222222"/>
          <w:sz w:val="17"/>
          <w:szCs w:val="17"/>
          <w:vertAlign w:val="superscript"/>
        </w:rPr>
        <w:t xml:space="preserve"> </w:t>
      </w:r>
    </w:p>
    <w:p w:rsidR="00BF55D8" w:rsidRPr="00BF55D8" w:rsidRDefault="00BF55D8" w:rsidP="00BF55D8">
      <w:pPr>
        <w:numPr>
          <w:ilvl w:val="0"/>
          <w:numId w:val="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Class 1</w:t>
      </w:r>
      <w:r>
        <w:rPr>
          <w:rFonts w:ascii="Arial" w:hAnsi="Arial" w:cs="Arial"/>
          <w:color w:val="222222"/>
          <w:sz w:val="21"/>
          <w:szCs w:val="21"/>
        </w:rPr>
        <w:t> — unworked stones with symbols only incised. There is no </w:t>
      </w:r>
      <w:hyperlink r:id="rId8" w:tooltip="Cross" w:history="1">
        <w:r>
          <w:rPr>
            <w:rStyle w:val="Hyperlink"/>
            <w:rFonts w:ascii="Arial" w:hAnsi="Arial" w:cs="Arial"/>
            <w:color w:val="0B0080"/>
            <w:sz w:val="21"/>
            <w:szCs w:val="21"/>
            <w:u w:val="none"/>
          </w:rPr>
          <w:t>cross</w:t>
        </w:r>
      </w:hyperlink>
      <w:r>
        <w:rPr>
          <w:rFonts w:ascii="Arial" w:hAnsi="Arial" w:cs="Arial"/>
          <w:color w:val="222222"/>
          <w:sz w:val="21"/>
          <w:szCs w:val="21"/>
        </w:rPr>
        <w:t> on either side. Class 1 stones date back to the 6th, 7th and 8th century.</w:t>
      </w:r>
      <w:r w:rsidRPr="00BF55D8">
        <w:rPr>
          <w:rFonts w:ascii="Arial" w:hAnsi="Arial" w:cs="Arial"/>
          <w:b/>
          <w:bCs/>
          <w:color w:val="222222"/>
          <w:sz w:val="21"/>
          <w:szCs w:val="21"/>
          <w:shd w:val="clear" w:color="auto" w:fill="FFFFFF"/>
        </w:rPr>
        <w:t xml:space="preserve"> </w:t>
      </w:r>
    </w:p>
    <w:p w:rsidR="006C3DBD" w:rsidRDefault="00BF55D8" w:rsidP="0075617C">
      <w:pPr>
        <w:numPr>
          <w:ilvl w:val="0"/>
          <w:numId w:val="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shd w:val="clear" w:color="auto" w:fill="FFFFFF"/>
        </w:rPr>
        <w:t>Class 2</w:t>
      </w:r>
      <w:r>
        <w:rPr>
          <w:rFonts w:ascii="Arial" w:hAnsi="Arial" w:cs="Arial"/>
          <w:color w:val="222222"/>
          <w:sz w:val="21"/>
          <w:szCs w:val="21"/>
          <w:shd w:val="clear" w:color="auto" w:fill="FFFFFF"/>
        </w:rPr>
        <w:t> — stones of more or less rectangular shape with a large cross and symbol(s) on one or both sides.</w:t>
      </w:r>
    </w:p>
    <w:p w:rsidR="00BF55D8" w:rsidRPr="006C3DBD" w:rsidRDefault="006C3DBD" w:rsidP="0075617C">
      <w:pPr>
        <w:numPr>
          <w:ilvl w:val="0"/>
          <w:numId w:val="1"/>
        </w:numPr>
        <w:shd w:val="clear" w:color="auto" w:fill="FFFFFF"/>
        <w:spacing w:before="100" w:beforeAutospacing="1" w:after="24" w:line="240" w:lineRule="auto"/>
        <w:ind w:left="384"/>
        <w:rPr>
          <w:rFonts w:ascii="Arial" w:hAnsi="Arial" w:cs="Arial"/>
          <w:color w:val="222222"/>
          <w:sz w:val="21"/>
          <w:szCs w:val="21"/>
        </w:rPr>
      </w:pPr>
      <w:r w:rsidRPr="006C3DBD">
        <w:rPr>
          <w:rFonts w:ascii="Arial" w:hAnsi="Arial" w:cs="Arial"/>
          <w:b/>
          <w:bCs/>
          <w:color w:val="222222"/>
          <w:sz w:val="21"/>
          <w:szCs w:val="21"/>
          <w:shd w:val="clear" w:color="auto" w:fill="FFFFFF"/>
        </w:rPr>
        <w:t>Class 3</w:t>
      </w:r>
      <w:r w:rsidRPr="006C3DBD">
        <w:rPr>
          <w:rFonts w:ascii="Arial" w:hAnsi="Arial" w:cs="Arial"/>
          <w:color w:val="222222"/>
          <w:sz w:val="21"/>
          <w:szCs w:val="21"/>
          <w:shd w:val="clear" w:color="auto" w:fill="FFFFFF"/>
        </w:rPr>
        <w:t xml:space="preserve"> — these stones feature no idiomatic </w:t>
      </w:r>
      <w:proofErr w:type="spellStart"/>
      <w:r w:rsidRPr="006C3DBD">
        <w:rPr>
          <w:rFonts w:ascii="Arial" w:hAnsi="Arial" w:cs="Arial"/>
          <w:color w:val="222222"/>
          <w:sz w:val="21"/>
          <w:szCs w:val="21"/>
          <w:shd w:val="clear" w:color="auto" w:fill="FFFFFF"/>
        </w:rPr>
        <w:t>Pictish</w:t>
      </w:r>
      <w:proofErr w:type="spellEnd"/>
      <w:r w:rsidRPr="006C3DBD">
        <w:rPr>
          <w:rFonts w:ascii="Arial" w:hAnsi="Arial" w:cs="Arial"/>
          <w:color w:val="222222"/>
          <w:sz w:val="21"/>
          <w:szCs w:val="21"/>
          <w:shd w:val="clear" w:color="auto" w:fill="FFFFFF"/>
        </w:rPr>
        <w:t xml:space="preserve"> symbols. The stones can be cross-slabs, recumbent </w:t>
      </w:r>
      <w:proofErr w:type="spellStart"/>
      <w:r w:rsidRPr="006C3DBD">
        <w:rPr>
          <w:rFonts w:ascii="Arial" w:hAnsi="Arial" w:cs="Arial"/>
          <w:color w:val="222222"/>
          <w:sz w:val="21"/>
          <w:szCs w:val="21"/>
          <w:shd w:val="clear" w:color="auto" w:fill="FFFFFF"/>
        </w:rPr>
        <w:t>gravemarkers</w:t>
      </w:r>
      <w:proofErr w:type="spellEnd"/>
      <w:r w:rsidRPr="006C3DBD">
        <w:rPr>
          <w:rFonts w:ascii="Arial" w:hAnsi="Arial" w:cs="Arial"/>
          <w:color w:val="222222"/>
          <w:sz w:val="21"/>
          <w:szCs w:val="21"/>
          <w:shd w:val="clear" w:color="auto" w:fill="FFFFFF"/>
        </w:rPr>
        <w:t>, free-standing crosses, and composite stone shrines. They originate in the 8th or 9th century.</w:t>
      </w:r>
    </w:p>
    <w:p w:rsidR="006C3DBD" w:rsidRDefault="006C3DBD" w:rsidP="0075617C">
      <w:r>
        <w:rPr>
          <w:rFonts w:ascii="Arial" w:hAnsi="Arial" w:cs="Arial"/>
          <w:color w:val="222222"/>
          <w:sz w:val="19"/>
          <w:szCs w:val="19"/>
          <w:shd w:val="clear" w:color="auto" w:fill="EAF3FF"/>
        </w:rPr>
        <w:t>Allen, J.R.; Anderson, J. (1903), </w:t>
      </w:r>
      <w:r>
        <w:rPr>
          <w:rFonts w:ascii="Arial" w:hAnsi="Arial" w:cs="Arial"/>
          <w:i/>
          <w:iCs/>
          <w:color w:val="222222"/>
          <w:sz w:val="19"/>
          <w:szCs w:val="19"/>
          <w:shd w:val="clear" w:color="auto" w:fill="EAF3FF"/>
        </w:rPr>
        <w:t>Early Christian Monuments of Scotland</w:t>
      </w:r>
      <w:r>
        <w:rPr>
          <w:rFonts w:ascii="Arial" w:hAnsi="Arial" w:cs="Arial"/>
          <w:color w:val="222222"/>
          <w:sz w:val="19"/>
          <w:szCs w:val="19"/>
          <w:shd w:val="clear" w:color="auto" w:fill="EAF3FF"/>
        </w:rPr>
        <w:t xml:space="preserve">, </w:t>
      </w:r>
      <w:proofErr w:type="spellStart"/>
      <w:r>
        <w:rPr>
          <w:rFonts w:ascii="Arial" w:hAnsi="Arial" w:cs="Arial"/>
          <w:color w:val="222222"/>
          <w:sz w:val="19"/>
          <w:szCs w:val="19"/>
          <w:shd w:val="clear" w:color="auto" w:fill="EAF3FF"/>
        </w:rPr>
        <w:t>Balgavies</w:t>
      </w:r>
      <w:proofErr w:type="spellEnd"/>
      <w:r>
        <w:rPr>
          <w:rFonts w:ascii="Arial" w:hAnsi="Arial" w:cs="Arial"/>
          <w:color w:val="222222"/>
          <w:sz w:val="19"/>
          <w:szCs w:val="19"/>
          <w:shd w:val="clear" w:color="auto" w:fill="EAF3FF"/>
        </w:rPr>
        <w:t xml:space="preserve">, Angus: </w:t>
      </w:r>
      <w:proofErr w:type="spellStart"/>
      <w:r>
        <w:rPr>
          <w:rFonts w:ascii="Arial" w:hAnsi="Arial" w:cs="Arial"/>
          <w:color w:val="222222"/>
          <w:sz w:val="19"/>
          <w:szCs w:val="19"/>
          <w:shd w:val="clear" w:color="auto" w:fill="EAF3FF"/>
        </w:rPr>
        <w:t>Pinkfoot</w:t>
      </w:r>
      <w:proofErr w:type="spellEnd"/>
      <w:r>
        <w:rPr>
          <w:rFonts w:ascii="Arial" w:hAnsi="Arial" w:cs="Arial"/>
          <w:color w:val="222222"/>
          <w:sz w:val="19"/>
          <w:szCs w:val="19"/>
          <w:shd w:val="clear" w:color="auto" w:fill="EAF3FF"/>
        </w:rPr>
        <w:t xml:space="preserve"> Press (1993</w:t>
      </w:r>
    </w:p>
    <w:p w:rsidR="006C3DBD" w:rsidRDefault="006C3DBD" w:rsidP="0075617C"/>
    <w:p w:rsidR="0075617C" w:rsidRDefault="0075617C" w:rsidP="0075617C">
      <w:pPr>
        <w:rPr>
          <w:b/>
          <w:bCs/>
        </w:rPr>
      </w:pPr>
      <w:r w:rsidRPr="0075617C">
        <w:t>The Copper Age or the Chalcolithic Period began with the Vinča culture in Eastern Europe at the 6th millennium site of </w:t>
      </w:r>
      <w:proofErr w:type="spellStart"/>
      <w:r w:rsidRPr="0075617C">
        <w:t>Pločnik</w:t>
      </w:r>
      <w:proofErr w:type="spellEnd"/>
      <w:r w:rsidRPr="0075617C">
        <w:t xml:space="preserve"> in the municipality of </w:t>
      </w:r>
      <w:proofErr w:type="spellStart"/>
      <w:r w:rsidRPr="0075617C">
        <w:t>Prokuplje</w:t>
      </w:r>
      <w:proofErr w:type="spellEnd"/>
      <w:r w:rsidRPr="0075617C">
        <w:t xml:space="preserve">, </w:t>
      </w:r>
      <w:proofErr w:type="spellStart"/>
      <w:r w:rsidRPr="0075617C">
        <w:t>Toplica</w:t>
      </w:r>
      <w:proofErr w:type="spellEnd"/>
      <w:r w:rsidRPr="0075617C">
        <w:t xml:space="preserve"> District, Republic of Serbia in which a copper axe from 5500 BCE was excavated belonging to the Vinča culture).</w:t>
      </w:r>
    </w:p>
    <w:p w:rsidR="0075617C" w:rsidRPr="0075617C" w:rsidRDefault="0075617C" w:rsidP="0075617C">
      <w:pPr>
        <w:pStyle w:val="NormalWeb"/>
        <w:ind w:left="720"/>
        <w:rPr>
          <w:rStyle w:val="Strong"/>
          <w:b w:val="0"/>
          <w:bCs w:val="0"/>
        </w:rPr>
      </w:pPr>
      <w:r>
        <w:t xml:space="preserve">     One of the most exciting finds for archaeologists was the discovery of a sophisticated metal workshop with a furnace and tools including a copper chisel and a two-headed hammer and axe. "This might prove that the Copper Age started in Europe at least 500 years earlier than we thought," Kuzmanovic said. The Copper Age marks the first stage of humans’ use of metal, with copper tools used alongside older stone implements. It is thought to have started around the 4th millennium BCE in southeast Europe, and earlier in the Middle East. The </w:t>
      </w:r>
      <w:proofErr w:type="spellStart"/>
      <w:r>
        <w:t>Vinca</w:t>
      </w:r>
      <w:proofErr w:type="spellEnd"/>
      <w:r>
        <w:t xml:space="preserve"> culture flourished from 5500 to 4000 BCE on the territories of what is now Bosnia, Serbia, Romania and the Former Yugoslav Republic of </w:t>
      </w:r>
      <w:r>
        <w:lastRenderedPageBreak/>
        <w:t xml:space="preserve">Macedonia. It got its name from the present-day village of </w:t>
      </w:r>
      <w:proofErr w:type="spellStart"/>
      <w:r>
        <w:t>Vinca</w:t>
      </w:r>
      <w:proofErr w:type="spellEnd"/>
      <w:r>
        <w:t>, 10 km east of Belgrade on the Danube River, where early 20th-century excavations uncovered the remains of eight Neolithic villages.</w:t>
      </w:r>
      <w:r>
        <w:br/>
        <w:t xml:space="preserve">     The discovery of a mine at the nearby </w:t>
      </w:r>
      <w:proofErr w:type="spellStart"/>
      <w:r>
        <w:t>Mlava</w:t>
      </w:r>
      <w:proofErr w:type="spellEnd"/>
      <w:r>
        <w:t xml:space="preserve"> </w:t>
      </w:r>
      <w:proofErr w:type="gramStart"/>
      <w:r>
        <w:t>river</w:t>
      </w:r>
      <w:proofErr w:type="gramEnd"/>
      <w:r>
        <w:t xml:space="preserve"> suggested at the time that </w:t>
      </w:r>
      <w:proofErr w:type="spellStart"/>
      <w:r>
        <w:t>Vinca</w:t>
      </w:r>
      <w:proofErr w:type="spellEnd"/>
      <w:r>
        <w:t xml:space="preserve"> could be Europe’s first metal culture, a theory now backed up by the </w:t>
      </w:r>
      <w:proofErr w:type="spellStart"/>
      <w:r>
        <w:t>Plocnik</w:t>
      </w:r>
      <w:proofErr w:type="spellEnd"/>
      <w:r>
        <w:t xml:space="preserve"> site. "These latest findings show that the </w:t>
      </w:r>
      <w:proofErr w:type="spellStart"/>
      <w:r>
        <w:t>Vinca</w:t>
      </w:r>
      <w:proofErr w:type="spellEnd"/>
      <w:r>
        <w:t xml:space="preserve"> culture was from the very beginning a metallurgical culture," said archaeologist </w:t>
      </w:r>
      <w:proofErr w:type="spellStart"/>
      <w:r>
        <w:t>Dusan</w:t>
      </w:r>
      <w:proofErr w:type="spellEnd"/>
      <w:r>
        <w:t xml:space="preserve"> </w:t>
      </w:r>
      <w:proofErr w:type="spellStart"/>
      <w:r>
        <w:t>Sljivar</w:t>
      </w:r>
      <w:proofErr w:type="spellEnd"/>
      <w:r>
        <w:t xml:space="preserve"> of Serbia’s National Museum. "They knew how to find minerals, to transport </w:t>
      </w:r>
      <w:proofErr w:type="spellStart"/>
      <w:proofErr w:type="gramStart"/>
      <w:r>
        <w:t>th</w:t>
      </w:r>
      <w:proofErr w:type="spellEnd"/>
      <w:proofErr w:type="gramEnd"/>
      <w:r w:rsidR="00727223" w:rsidRPr="00727223">
        <w:t xml:space="preserve"> </w:t>
      </w:r>
      <w:proofErr w:type="spellStart"/>
      <w:r w:rsidR="00727223" w:rsidRPr="0075617C">
        <w:t>Pločnik</w:t>
      </w:r>
      <w:proofErr w:type="spellEnd"/>
      <w:r w:rsidR="00727223">
        <w:t xml:space="preserve"> </w:t>
      </w:r>
      <w:r>
        <w:t xml:space="preserve">was a room of some 25 square meters, with walls built out of wood coated with clay. The furnace, built on the outside of the room, featured earthen pipe-like air vents with hundreds of tiny holes in them and a prototype chimney to ensure air goes into the furnace to feed the fire and smoke comes out safely. </w:t>
      </w:r>
      <w:proofErr w:type="spellStart"/>
      <w:r>
        <w:t>Sljivar</w:t>
      </w:r>
      <w:proofErr w:type="spellEnd"/>
      <w:r>
        <w:t xml:space="preserve"> said the early metal workers very likely experimented with colorful minerals that caught their eye – blue azurite, bright green malachite and red cuprite, all containing copper – as evidenced by malachite traces found on the inside of a pot.</w:t>
      </w:r>
      <w:r>
        <w:br/>
      </w:r>
      <w:r>
        <w:rPr>
          <w:rStyle w:val="Emphasis"/>
        </w:rPr>
        <w:t xml:space="preserve">(After Reuters, 11 November 2007, </w:t>
      </w:r>
      <w:proofErr w:type="spellStart"/>
      <w:r>
        <w:rPr>
          <w:rStyle w:val="Emphasis"/>
        </w:rPr>
        <w:t>Kathimerini</w:t>
      </w:r>
      <w:proofErr w:type="spellEnd"/>
      <w:r>
        <w:rPr>
          <w:rStyle w:val="Emphasis"/>
        </w:rPr>
        <w:t xml:space="preserve">, </w:t>
      </w:r>
      <w:proofErr w:type="gramStart"/>
      <w:r>
        <w:rPr>
          <w:rStyle w:val="Emphasis"/>
        </w:rPr>
        <w:t>16</w:t>
      </w:r>
      <w:proofErr w:type="gramEnd"/>
      <w:r>
        <w:rPr>
          <w:rStyle w:val="Emphasis"/>
        </w:rPr>
        <w:t xml:space="preserve"> November 2007.)</w:t>
      </w:r>
    </w:p>
    <w:p w:rsidR="00727223" w:rsidRPr="00EB5DE2" w:rsidRDefault="00727223" w:rsidP="00727223">
      <w:pPr>
        <w:rPr>
          <w:b/>
          <w:bCs/>
        </w:rPr>
      </w:pPr>
      <w:r w:rsidRPr="00EB5DE2">
        <w:rPr>
          <w:b/>
          <w:bCs/>
        </w:rPr>
        <w:t>LC Classification:</w:t>
      </w:r>
      <w:r>
        <w:rPr>
          <w:b/>
          <w:bCs/>
        </w:rPr>
        <w:t xml:space="preserve"> </w:t>
      </w:r>
      <w:r w:rsidRPr="00694B7A">
        <w:t>GN776.2.V5</w:t>
      </w:r>
      <w:r>
        <w:rPr>
          <w:rFonts w:ascii="inherit" w:hAnsi="inherit" w:cs="Arial"/>
          <w:color w:val="333333"/>
          <w:sz w:val="18"/>
          <w:szCs w:val="18"/>
        </w:rPr>
        <w:t> </w:t>
      </w:r>
      <w:r w:rsidRPr="00694B7A">
        <w:rPr>
          <w:rFonts w:ascii="inherit" w:hAnsi="inherit" w:cs="Arial"/>
          <w:color w:val="333333"/>
          <w:sz w:val="18"/>
          <w:szCs w:val="18"/>
          <w:bdr w:val="none" w:sz="0" w:space="0" w:color="auto" w:frame="1"/>
        </w:rPr>
        <w:t xml:space="preserve"> </w:t>
      </w:r>
    </w:p>
    <w:p w:rsidR="00727223" w:rsidRDefault="00727223" w:rsidP="00727223">
      <w:r>
        <w:rPr>
          <w:rStyle w:val="Strong"/>
        </w:rPr>
        <w:t>Date or Time Horizon:</w:t>
      </w:r>
      <w:r>
        <w:t xml:space="preserve"> </w:t>
      </w:r>
      <w:r w:rsidRPr="002635C7">
        <w:t>Middle Neolithic/Copper Age</w:t>
      </w:r>
      <w:r>
        <w:t>-5500-4500 BCE.</w:t>
      </w:r>
    </w:p>
    <w:p w:rsidR="00727223" w:rsidRDefault="00727223" w:rsidP="00727223">
      <w:r>
        <w:rPr>
          <w:rStyle w:val="Strong"/>
        </w:rPr>
        <w:t>Geographical Area:</w:t>
      </w:r>
      <w:r>
        <w:t xml:space="preserve"> SE Europe</w:t>
      </w:r>
    </w:p>
    <w:p w:rsidR="00727223" w:rsidRDefault="00727223" w:rsidP="00727223">
      <w:pPr>
        <w:rPr>
          <w:b/>
        </w:rPr>
      </w:pPr>
      <w:r w:rsidRPr="0011252F">
        <w:rPr>
          <w:b/>
        </w:rPr>
        <w:t>Map</w:t>
      </w:r>
      <w:r>
        <w:rPr>
          <w:b/>
        </w:rPr>
        <w:t>:</w:t>
      </w:r>
    </w:p>
    <w:p w:rsidR="00727223" w:rsidRDefault="00727223" w:rsidP="00727223">
      <w:pPr>
        <w:rPr>
          <w:b/>
        </w:rPr>
      </w:pPr>
      <w:r>
        <w:rPr>
          <w:noProof/>
        </w:rPr>
        <w:drawing>
          <wp:inline distT="0" distB="0" distL="0" distR="0" wp14:anchorId="321DA64C" wp14:editId="565166B6">
            <wp:extent cx="5648325" cy="439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4391025"/>
                    </a:xfrm>
                    <a:prstGeom prst="rect">
                      <a:avLst/>
                    </a:prstGeom>
                  </pic:spPr>
                </pic:pic>
              </a:graphicData>
            </a:graphic>
          </wp:inline>
        </w:drawing>
      </w:r>
      <w:r w:rsidRPr="0011252F">
        <w:rPr>
          <w:b/>
        </w:rPr>
        <w:t xml:space="preserve"> </w:t>
      </w:r>
    </w:p>
    <w:p w:rsidR="00727223" w:rsidRDefault="00727223" w:rsidP="00727223">
      <w:r w:rsidRPr="0011252F">
        <w:rPr>
          <w:b/>
        </w:rPr>
        <w:t>GPS coordinates:</w:t>
      </w:r>
      <w:r>
        <w:rPr>
          <w:b/>
        </w:rPr>
        <w:t xml:space="preserve"> </w:t>
      </w:r>
      <w:proofErr w:type="spellStart"/>
      <w:r w:rsidRPr="0075617C">
        <w:t>Pločnik</w:t>
      </w:r>
      <w:proofErr w:type="spellEnd"/>
      <w:r>
        <w:rPr>
          <w:rStyle w:val="plainlinks"/>
        </w:rPr>
        <w:t xml:space="preserve"> </w:t>
      </w:r>
      <w:hyperlink r:id="rId10" w:history="1">
        <w:r>
          <w:rPr>
            <w:rStyle w:val="latitude"/>
            <w:color w:val="0000FF"/>
            <w:u w:val="single"/>
          </w:rPr>
          <w:t>43°12′12″N</w:t>
        </w:r>
        <w:r>
          <w:rPr>
            <w:rStyle w:val="geo-dms"/>
            <w:color w:val="0000FF"/>
            <w:u w:val="single"/>
          </w:rPr>
          <w:t xml:space="preserve"> </w:t>
        </w:r>
        <w:r>
          <w:rPr>
            <w:rStyle w:val="longitude"/>
            <w:color w:val="0000FF"/>
            <w:u w:val="single"/>
          </w:rPr>
          <w:t>21°21′33″E</w:t>
        </w:r>
      </w:hyperlink>
    </w:p>
    <w:p w:rsidR="00727223" w:rsidRDefault="009048D1" w:rsidP="00727223">
      <w:r>
        <w:object w:dxaOrig="5037" w:dyaOrig="5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360.5pt" o:ole="">
            <v:imagedata r:id="rId11" o:title=""/>
          </v:shape>
          <o:OLEObject Type="Embed" ProgID="Unknown" ShapeID="_x0000_i1025" DrawAspect="Content" ObjectID="_1597076435" r:id="rId12"/>
        </w:object>
      </w:r>
      <w:r w:rsidRPr="009048D1">
        <w:t xml:space="preserve"> </w:t>
      </w:r>
    </w:p>
    <w:p w:rsidR="00727223" w:rsidRPr="00894C5B" w:rsidRDefault="00727223" w:rsidP="00727223">
      <w:r w:rsidRPr="00894C5B">
        <w:t xml:space="preserve">Fig. </w:t>
      </w:r>
      <w:r>
        <w:t xml:space="preserve">5. </w:t>
      </w:r>
      <w:r w:rsidRPr="00894C5B">
        <w:t xml:space="preserve">Map of the extent of Vinča culture. Adapted after </w:t>
      </w:r>
      <w:r>
        <w:t xml:space="preserve">Kaiser and </w:t>
      </w:r>
      <w:proofErr w:type="spellStart"/>
      <w:r>
        <w:t>Voytek</w:t>
      </w:r>
      <w:proofErr w:type="spellEnd"/>
      <w:r>
        <w:t xml:space="preserve"> (1983: 333, fig. 1) and Chapman (1981)</w:t>
      </w:r>
      <w:r w:rsidRPr="00894C5B">
        <w:t>; from https://www.ucl.ac.uk/silva/rise-metallurgy-eurasia/images/5.1.jpg?hires</w:t>
      </w:r>
    </w:p>
    <w:p w:rsidR="00727223" w:rsidRDefault="00727223" w:rsidP="00727223">
      <w:r>
        <w:object w:dxaOrig="5042" w:dyaOrig="6485">
          <v:shape id="_x0000_i1026" type="#_x0000_t75" style="width:322pt;height:415.5pt" o:ole="">
            <v:imagedata r:id="rId13" o:title=""/>
          </v:shape>
          <o:OLEObject Type="Embed" ProgID="Unknown" ShapeID="_x0000_i1026" DrawAspect="Content" ObjectID="_1597076436" r:id="rId14"/>
        </w:object>
      </w:r>
    </w:p>
    <w:p w:rsidR="00727223" w:rsidRPr="0011252F" w:rsidRDefault="00727223" w:rsidP="00727223">
      <w:pPr>
        <w:rPr>
          <w:b/>
        </w:rPr>
      </w:pPr>
      <w:r>
        <w:t>Fig. 6. Map of the Central Balkans. Beograd = Belgrade, Serbia, and the approximate location of the Vinča Belo-</w:t>
      </w:r>
      <w:proofErr w:type="spellStart"/>
      <w:r>
        <w:t>Brdo</w:t>
      </w:r>
      <w:proofErr w:type="spellEnd"/>
      <w:r>
        <w:t xml:space="preserve"> site. From </w:t>
      </w:r>
      <w:r w:rsidRPr="00813845">
        <w:t>http://drakenberg.weebly.com/uploads/6/7/4/7/6747442/9582880.jpg?578</w:t>
      </w:r>
    </w:p>
    <w:p w:rsidR="00727223" w:rsidRDefault="00727223" w:rsidP="00727223">
      <w:r>
        <w:rPr>
          <w:rStyle w:val="Strong"/>
        </w:rPr>
        <w:t>Cultural Affiliation:</w:t>
      </w:r>
      <w:r>
        <w:t xml:space="preserve"> Vinča Culture</w:t>
      </w:r>
    </w:p>
    <w:p w:rsidR="00727223" w:rsidRDefault="00727223" w:rsidP="00727223">
      <w:r>
        <w:rPr>
          <w:rStyle w:val="Strong"/>
        </w:rPr>
        <w:t>Medium:</w:t>
      </w:r>
      <w:r>
        <w:t xml:space="preserve"> clay</w:t>
      </w:r>
    </w:p>
    <w:p w:rsidR="00727223" w:rsidRDefault="00727223" w:rsidP="00727223">
      <w:pPr>
        <w:rPr>
          <w:b/>
          <w:bCs/>
        </w:rPr>
      </w:pPr>
      <w:r>
        <w:rPr>
          <w:rStyle w:val="Strong"/>
        </w:rPr>
        <w:t>Dimensions:</w:t>
      </w:r>
      <w:r>
        <w:t xml:space="preserve"> H 174.74 mm, 6.76 in</w:t>
      </w:r>
    </w:p>
    <w:p w:rsidR="00727223" w:rsidRDefault="00727223" w:rsidP="00727223">
      <w:pPr>
        <w:rPr>
          <w:rStyle w:val="Strong"/>
        </w:rPr>
      </w:pPr>
      <w:r>
        <w:rPr>
          <w:rStyle w:val="Strong"/>
        </w:rPr>
        <w:t xml:space="preserve">Weight: </w:t>
      </w:r>
      <w:r w:rsidRPr="009873B6">
        <w:rPr>
          <w:rStyle w:val="Strong"/>
        </w:rPr>
        <w:t>258 gm, 9 oz</w:t>
      </w:r>
    </w:p>
    <w:p w:rsidR="00727223" w:rsidRDefault="00727223" w:rsidP="00727223">
      <w:r>
        <w:rPr>
          <w:rStyle w:val="Strong"/>
        </w:rPr>
        <w:t>Provenance:</w:t>
      </w:r>
      <w:r>
        <w:t xml:space="preserve"> Anglo-Antiquities, 33 Medlock Grove, </w:t>
      </w:r>
      <w:proofErr w:type="spellStart"/>
      <w:r>
        <w:t>Didcot</w:t>
      </w:r>
      <w:proofErr w:type="spellEnd"/>
      <w:r>
        <w:t xml:space="preserve">, </w:t>
      </w:r>
      <w:proofErr w:type="spellStart"/>
      <w:r>
        <w:t>Oxfordshire</w:t>
      </w:r>
      <w:proofErr w:type="spellEnd"/>
      <w:r>
        <w:t>, ox11 7xy, United Kingdom</w:t>
      </w:r>
    </w:p>
    <w:p w:rsidR="00727223" w:rsidRDefault="00727223" w:rsidP="00727223">
      <w:pPr>
        <w:rPr>
          <w:b/>
          <w:bCs/>
        </w:rPr>
      </w:pPr>
      <w:r>
        <w:rPr>
          <w:b/>
          <w:bCs/>
        </w:rPr>
        <w:t>Discussion:</w:t>
      </w:r>
    </w:p>
    <w:p w:rsidR="00727223" w:rsidRPr="00D47A9F" w:rsidRDefault="00727223" w:rsidP="00727223">
      <w:r>
        <w:tab/>
      </w:r>
      <w:r w:rsidRPr="00D47A9F">
        <w:t xml:space="preserve">The Vinča culture was named for its type site, Vinča-Belo </w:t>
      </w:r>
      <w:proofErr w:type="spellStart"/>
      <w:r w:rsidRPr="00D47A9F">
        <w:t>Brdo</w:t>
      </w:r>
      <w:proofErr w:type="spellEnd"/>
      <w:r>
        <w:t xml:space="preserve"> tell or mound</w:t>
      </w:r>
      <w:r w:rsidRPr="00D47A9F">
        <w:t xml:space="preserve">, on the right bank of the Danube River in Belgrade, Serbia. </w:t>
      </w:r>
    </w:p>
    <w:p w:rsidR="00727223" w:rsidRPr="00D47A9F" w:rsidRDefault="00727223" w:rsidP="00727223">
      <w:r w:rsidRPr="00D47A9F">
        <w:t xml:space="preserve">The Vinča culture emerged at the inception of the Middle Neolithic/Copper or </w:t>
      </w:r>
      <w:proofErr w:type="spellStart"/>
      <w:r w:rsidRPr="00D47A9F">
        <w:t>Chacolithic</w:t>
      </w:r>
      <w:proofErr w:type="spellEnd"/>
      <w:r w:rsidRPr="00D47A9F">
        <w:t xml:space="preserve"> Age (</w:t>
      </w:r>
      <w:r>
        <w:t>5500</w:t>
      </w:r>
      <w:r w:rsidRPr="00D47A9F">
        <w:t xml:space="preserve">-4500 BCE) with origins that are debated as either having derived from the </w:t>
      </w:r>
      <w:r>
        <w:t>earlier</w:t>
      </w:r>
      <w:r w:rsidRPr="00D47A9F">
        <w:t xml:space="preserve"> </w:t>
      </w:r>
      <w:proofErr w:type="spellStart"/>
      <w:r w:rsidRPr="00D47A9F">
        <w:t>Starčevo</w:t>
      </w:r>
      <w:proofErr w:type="spellEnd"/>
      <w:r w:rsidRPr="00D47A9F">
        <w:t xml:space="preserve"> culture (</w:t>
      </w:r>
      <w:r>
        <w:t>6200</w:t>
      </w:r>
      <w:r w:rsidRPr="00D47A9F">
        <w:t>-4500 BCE) of the area, which has been reputed to have been the source of a Proto Indo-European language (PIE)</w:t>
      </w:r>
      <w:r>
        <w:t>,</w:t>
      </w:r>
      <w:r w:rsidRPr="00D47A9F">
        <w:t xml:space="preserve"> or from migrations from a PIE homeland of a Kurgan or mound-building culture in the Pontic steppe north of the Black Sea</w:t>
      </w:r>
      <w:r>
        <w:t xml:space="preserve"> (The Kurgan Hypothesis)</w:t>
      </w:r>
      <w:r w:rsidRPr="00D47A9F">
        <w:t xml:space="preserve">. </w:t>
      </w:r>
    </w:p>
    <w:p w:rsidR="00727223" w:rsidRDefault="00727223" w:rsidP="00727223">
      <w:r w:rsidRPr="00D47A9F">
        <w:lastRenderedPageBreak/>
        <w:tab/>
        <w:t xml:space="preserve">Vinča </w:t>
      </w:r>
      <w:r>
        <w:t>settlers</w:t>
      </w:r>
      <w:r w:rsidRPr="00D47A9F">
        <w:t xml:space="preserve"> initiated a cultural uniformity that they expressed in</w:t>
      </w:r>
      <w:r>
        <w:t xml:space="preserve"> farming,</w:t>
      </w:r>
      <w:r w:rsidRPr="00D47A9F">
        <w:t xml:space="preserve"> </w:t>
      </w:r>
      <w:r>
        <w:t xml:space="preserve">making </w:t>
      </w:r>
      <w:r w:rsidRPr="00D47A9F">
        <w:t xml:space="preserve">dark pottery fired under reducing conditions comprising zoomorphic and anthropomorphic figurines and </w:t>
      </w:r>
      <w:r>
        <w:t xml:space="preserve">making clay </w:t>
      </w:r>
      <w:r w:rsidRPr="00D47A9F">
        <w:t>tablets with so-called Vinča symbols</w:t>
      </w:r>
      <w:r>
        <w:t>,</w:t>
      </w:r>
      <w:r w:rsidRPr="00D47A9F">
        <w:t xml:space="preserve"> which have the appearance of proto-writing (Winn      Luca 2008: 26). The type site of the Vinča-Belo </w:t>
      </w:r>
      <w:proofErr w:type="spellStart"/>
      <w:r w:rsidRPr="00D47A9F">
        <w:t>Brdo</w:t>
      </w:r>
      <w:proofErr w:type="spellEnd"/>
      <w:r w:rsidRPr="00D47A9F">
        <w:t xml:space="preserve"> comprised 7 m of Vinča cultural debris overlying 2 m of the previous </w:t>
      </w:r>
      <w:proofErr w:type="spellStart"/>
      <w:r w:rsidRPr="00D47A9F">
        <w:t>Starčevo</w:t>
      </w:r>
      <w:proofErr w:type="spellEnd"/>
      <w:r w:rsidRPr="00D47A9F">
        <w:t xml:space="preserve"> culture. Elsewhere in Serbia a</w:t>
      </w:r>
      <w:r>
        <w:t>nd the western part of Romania</w:t>
      </w:r>
      <w:r w:rsidRPr="00D47A9F">
        <w:t xml:space="preserve"> large Vinča tell villages ranged up to 100 ha in size. </w:t>
      </w:r>
    </w:p>
    <w:p w:rsidR="00727223" w:rsidRPr="0075617C" w:rsidRDefault="00727223" w:rsidP="00727223">
      <w:r w:rsidRPr="00D47A9F">
        <w:tab/>
        <w:t xml:space="preserve">Early </w:t>
      </w:r>
      <w:r>
        <w:t xml:space="preserve">phase </w:t>
      </w:r>
      <w:r w:rsidRPr="00D47A9F">
        <w:t xml:space="preserve">anthropomorphic figurines </w:t>
      </w:r>
      <w:r>
        <w:t xml:space="preserve">from this site </w:t>
      </w:r>
      <w:r w:rsidRPr="00D47A9F">
        <w:t xml:space="preserve">have triangular heads, flat bodies with short outstretched arms and closed legs. The treatment of facial and body features was done by simple incisions into the clay without modeling. Later </w:t>
      </w:r>
      <w:r>
        <w:t xml:space="preserve">phase </w:t>
      </w:r>
      <w:r w:rsidRPr="00D47A9F">
        <w:t>anthropomorphic figurines are more polygonal, with more pronounced facial features</w:t>
      </w:r>
      <w:r>
        <w:t>,</w:t>
      </w:r>
      <w:r w:rsidRPr="00D47A9F">
        <w:t xml:space="preserve"> such as modeled noses and distinctive half-moon eyes and modeled arms. For both periods no indication of a mouth is present. Some theorize that these figurines are deities for ritual practice, while others see them as ancestral cult objects.</w:t>
      </w:r>
    </w:p>
    <w:p w:rsidR="00727223" w:rsidRDefault="00727223" w:rsidP="00727223">
      <w:pPr>
        <w:pStyle w:val="NormalWeb"/>
        <w:ind w:left="720"/>
      </w:pPr>
      <w:r>
        <w:t xml:space="preserve">"According to the figurines we found, young women were beautifully dressed, like today's girls in short tops and </w:t>
      </w:r>
      <w:proofErr w:type="spellStart"/>
      <w:r>
        <w:t>mini skirts</w:t>
      </w:r>
      <w:proofErr w:type="spellEnd"/>
      <w:r>
        <w:t xml:space="preserve">, and wore bracelets around their arms," said archaeologist </w:t>
      </w:r>
      <w:proofErr w:type="spellStart"/>
      <w:r>
        <w:t>Julka</w:t>
      </w:r>
      <w:proofErr w:type="spellEnd"/>
      <w:r>
        <w:t xml:space="preserve"> Kuzmanovic-</w:t>
      </w:r>
      <w:proofErr w:type="spellStart"/>
      <w:r>
        <w:t>Cvetkovic</w:t>
      </w:r>
      <w:proofErr w:type="spellEnd"/>
      <w:r>
        <w:t>.</w:t>
      </w:r>
      <w:r>
        <w:br/>
        <w:t xml:space="preserve">     The unnamed tribe who lived between 5400 and 4700 BCE in the 120-hectare site at what is now </w:t>
      </w:r>
      <w:proofErr w:type="spellStart"/>
      <w:r>
        <w:t>Plocnik</w:t>
      </w:r>
      <w:proofErr w:type="spellEnd"/>
      <w:r>
        <w:t xml:space="preserve"> knew about trade, handcrafts, art and metallurgy. Near the settlement, a thermal well might be evidence of Europe’s oldest spa. "They pursued beauty and produced 60 different forms of wonderful pottery and figurines, not only to represent deities, but also out of pure enjoyment," said Kuzmanovic.</w:t>
      </w:r>
      <w:r>
        <w:br/>
        <w:t xml:space="preserve">The findings suggest an advanced division of labor and organization. Houses had stoves, there were special holes for trash, and the dead were buried in a tidy necropolis. People slept on </w:t>
      </w:r>
      <w:proofErr w:type="spellStart"/>
      <w:r>
        <w:t>woollen</w:t>
      </w:r>
      <w:proofErr w:type="spellEnd"/>
      <w:r>
        <w:t xml:space="preserve"> mats and fur, made clothes of wool, flax and leather, and kept animals.</w:t>
      </w:r>
      <w:r>
        <w:br/>
        <w:t xml:space="preserve">The community was especially fond of children. Artefacts include toys such as animals and rattles of clay, and small, clumsily crafted pots apparently made by children at playtime.     The settlement was destroyed at some point, probably in the first part of the 5th millennium, by a huge fire. The </w:t>
      </w:r>
      <w:proofErr w:type="spellStart"/>
      <w:r>
        <w:t>Plocnik</w:t>
      </w:r>
      <w:proofErr w:type="spellEnd"/>
      <w:r>
        <w:t xml:space="preserve"> site was first discovered in 1927 when the then Kingdom of Serbs, Croats and Slovenes was building a rail line. Some findings were published at the time but war, lack of funds and objections from farmers meant it was investigated only sporadically until digging started in earnest in 1996. "The saddest thing for us is always the moment when we finish our work and everything has to be covered up with earth again," Kuzmanovic said. "That’s the easiest for the state; conservation is very expensive and the land owners want to work in their fields." But there was some hope that the latest excavation would be preserved due to its importance, Kuzmanovic added. </w:t>
      </w:r>
    </w:p>
    <w:p w:rsidR="00727223" w:rsidRPr="0075617C" w:rsidRDefault="00727223" w:rsidP="00727223">
      <w:pPr>
        <w:pStyle w:val="NormalWeb"/>
        <w:ind w:left="720"/>
      </w:pPr>
      <w:r>
        <w:rPr>
          <w:rStyle w:val="Emphasis"/>
        </w:rPr>
        <w:t xml:space="preserve">(After Reuters, 11 November 2007, </w:t>
      </w:r>
      <w:proofErr w:type="spellStart"/>
      <w:r>
        <w:rPr>
          <w:rStyle w:val="Emphasis"/>
        </w:rPr>
        <w:t>Kathimerini</w:t>
      </w:r>
      <w:proofErr w:type="spellEnd"/>
      <w:r>
        <w:rPr>
          <w:rStyle w:val="Emphasis"/>
        </w:rPr>
        <w:t xml:space="preserve">, </w:t>
      </w:r>
      <w:proofErr w:type="gramStart"/>
      <w:r>
        <w:rPr>
          <w:rStyle w:val="Emphasis"/>
        </w:rPr>
        <w:t>16</w:t>
      </w:r>
      <w:proofErr w:type="gramEnd"/>
      <w:r>
        <w:rPr>
          <w:rStyle w:val="Emphasis"/>
        </w:rPr>
        <w:t xml:space="preserve"> November 2007.)</w:t>
      </w:r>
    </w:p>
    <w:p w:rsidR="00727223" w:rsidRPr="00D47A9F" w:rsidRDefault="00727223" w:rsidP="00727223"/>
    <w:p w:rsidR="00727223" w:rsidRDefault="00727223" w:rsidP="00727223">
      <w:pPr>
        <w:rPr>
          <w:b/>
          <w:bCs/>
        </w:rPr>
      </w:pPr>
    </w:p>
    <w:p w:rsidR="00727223" w:rsidRDefault="00727223" w:rsidP="00727223"/>
    <w:p w:rsidR="00727223" w:rsidRDefault="00727223" w:rsidP="00727223">
      <w:r w:rsidRPr="00E2278E">
        <w:rPr>
          <w:noProof/>
        </w:rPr>
        <w:lastRenderedPageBreak/>
        <w:drawing>
          <wp:inline distT="0" distB="0" distL="0" distR="0" wp14:anchorId="2FE5AC58" wp14:editId="19116B49">
            <wp:extent cx="4470400" cy="3987429"/>
            <wp:effectExtent l="0" t="0" r="6350" b="0"/>
            <wp:docPr id="3" name="Picture 3" descr="Starcevo_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evo_cultu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1491" cy="3997322"/>
                    </a:xfrm>
                    <a:prstGeom prst="rect">
                      <a:avLst/>
                    </a:prstGeom>
                    <a:noFill/>
                    <a:ln>
                      <a:noFill/>
                    </a:ln>
                  </pic:spPr>
                </pic:pic>
              </a:graphicData>
            </a:graphic>
          </wp:inline>
        </w:drawing>
      </w:r>
    </w:p>
    <w:p w:rsidR="00727223" w:rsidRDefault="00727223" w:rsidP="00727223">
      <w:r>
        <w:t xml:space="preserve">Fig. 7. The extent of the </w:t>
      </w:r>
      <w:proofErr w:type="spellStart"/>
      <w:r w:rsidRPr="00D47A9F">
        <w:t>Starčevo</w:t>
      </w:r>
      <w:proofErr w:type="spellEnd"/>
      <w:r w:rsidRPr="00D47A9F">
        <w:t xml:space="preserve"> culture (</w:t>
      </w:r>
      <w:r>
        <w:t>6200</w:t>
      </w:r>
      <w:r w:rsidRPr="00D47A9F">
        <w:t>-4500 BCE)</w:t>
      </w:r>
      <w:r>
        <w:t xml:space="preserve"> in southeast Europe. After </w:t>
      </w:r>
      <w:hyperlink r:id="rId16" w:history="1">
        <w:r w:rsidRPr="003250F5">
          <w:rPr>
            <w:rStyle w:val="Hyperlink"/>
          </w:rPr>
          <w:t>https://upload.wikimedia.org/wikipedia/commons/thumb/e/ea/Starcevo_culture.png/450px-Starcevo_culture.png</w:t>
        </w:r>
      </w:hyperlink>
    </w:p>
    <w:p w:rsidR="00727223" w:rsidRDefault="00727223" w:rsidP="00727223">
      <w:r>
        <w:fldChar w:fldCharType="begin"/>
      </w:r>
      <w:r>
        <w:instrText xml:space="preserve"> INCLUDEPICTURE "https://upload.wikimedia.org/wikipedia/commons/2/20/Kurgan_map.png" \* MERGEFORMATINET </w:instrText>
      </w:r>
      <w:r>
        <w:fldChar w:fldCharType="separate"/>
      </w:r>
      <w:r>
        <w:fldChar w:fldCharType="begin"/>
      </w:r>
      <w:r>
        <w:instrText xml:space="preserve"> INCLUDEPICTURE  "https://upload.wikimedia.org/wikipedia/commons/2/20/Kurgan_map.png" \* MERGEFORMATINET </w:instrText>
      </w:r>
      <w:r>
        <w:fldChar w:fldCharType="separate"/>
      </w:r>
      <w:r>
        <w:fldChar w:fldCharType="begin"/>
      </w:r>
      <w:r>
        <w:instrText xml:space="preserve"> INCLUDEPICTURE  "https://upload.wikimedia.org/wikipedia/commons/2/20/Kurgan_map.png" \* MERGEFORMATINET </w:instrText>
      </w:r>
      <w:r>
        <w:fldChar w:fldCharType="separate"/>
      </w:r>
      <w:r w:rsidR="00596ACB">
        <w:fldChar w:fldCharType="begin"/>
      </w:r>
      <w:r w:rsidR="00596ACB">
        <w:instrText xml:space="preserve"> INCLUDEPICTURE  "https://upload.wikimedia.org/wikipedia/commons/2/20/Kurgan_map.png" \* MERGEFORMATINET </w:instrText>
      </w:r>
      <w:r w:rsidR="00596ACB">
        <w:fldChar w:fldCharType="separate"/>
      </w:r>
      <w:r w:rsidR="00D93B22">
        <w:fldChar w:fldCharType="begin"/>
      </w:r>
      <w:r w:rsidR="00D93B22">
        <w:instrText xml:space="preserve"> </w:instrText>
      </w:r>
      <w:r w:rsidR="00D93B22">
        <w:instrText>INCLUDEPICTURE  "https://upload.wikimedia.org/wikipedia/commons/2/20/Kurgan_map.png" \* MERGEFORMATINET</w:instrText>
      </w:r>
      <w:r w:rsidR="00D93B22">
        <w:instrText xml:space="preserve"> </w:instrText>
      </w:r>
      <w:r w:rsidR="00D93B22">
        <w:fldChar w:fldCharType="separate"/>
      </w:r>
      <w:r w:rsidR="00600128">
        <w:pict>
          <v:shape id="_x0000_i1027" type="#_x0000_t75" alt="https://upload.wikimedia.org/wikipedia/commons/2/20/Kurgan_map.png" style="width:379pt;height:218pt">
            <v:imagedata r:id="rId17" r:href="rId18"/>
          </v:shape>
        </w:pict>
      </w:r>
      <w:r w:rsidR="00D93B22">
        <w:fldChar w:fldCharType="end"/>
      </w:r>
      <w:r w:rsidR="00596ACB">
        <w:fldChar w:fldCharType="end"/>
      </w:r>
      <w:r>
        <w:fldChar w:fldCharType="end"/>
      </w:r>
      <w:r>
        <w:fldChar w:fldCharType="end"/>
      </w:r>
      <w:r>
        <w:fldChar w:fldCharType="end"/>
      </w:r>
    </w:p>
    <w:p w:rsidR="00727223" w:rsidRDefault="00727223" w:rsidP="00727223">
      <w:r>
        <w:t>Fig.8</w:t>
      </w:r>
      <w:proofErr w:type="gramStart"/>
      <w:r>
        <w:t>.  Overview</w:t>
      </w:r>
      <w:proofErr w:type="gramEnd"/>
      <w:r>
        <w:t xml:space="preserve"> of </w:t>
      </w:r>
      <w:hyperlink r:id="rId19" w:tooltip="Marija Gimbutas (page does not exist)" w:history="1">
        <w:proofErr w:type="spellStart"/>
        <w:r>
          <w:rPr>
            <w:rStyle w:val="Hyperlink"/>
          </w:rPr>
          <w:t>Marija</w:t>
        </w:r>
        <w:proofErr w:type="spellEnd"/>
        <w:r>
          <w:rPr>
            <w:rStyle w:val="Hyperlink"/>
          </w:rPr>
          <w:t xml:space="preserve"> </w:t>
        </w:r>
        <w:proofErr w:type="spellStart"/>
        <w:r>
          <w:rPr>
            <w:rStyle w:val="Hyperlink"/>
          </w:rPr>
          <w:t>Gimbutas</w:t>
        </w:r>
        <w:proofErr w:type="spellEnd"/>
      </w:hyperlink>
      <w:r>
        <w:t xml:space="preserve">' </w:t>
      </w:r>
      <w:hyperlink r:id="rId20" w:tooltip="Kurgan (page does not exist)" w:history="1">
        <w:r>
          <w:rPr>
            <w:rStyle w:val="Hyperlink"/>
          </w:rPr>
          <w:t>Kurgan</w:t>
        </w:r>
      </w:hyperlink>
      <w:r>
        <w:t xml:space="preserve"> hypothesis showing the PIE migrations from the Pontic Steppes into southeastern Europe. Made by </w:t>
      </w:r>
      <w:hyperlink r:id="rId21" w:tooltip="en:User:Dbachmann" w:history="1">
        <w:proofErr w:type="spellStart"/>
        <w:r>
          <w:rPr>
            <w:rStyle w:val="Hyperlink"/>
          </w:rPr>
          <w:t>en</w:t>
        </w:r>
        <w:proofErr w:type="gramStart"/>
        <w:r>
          <w:rPr>
            <w:rStyle w:val="Hyperlink"/>
          </w:rPr>
          <w:t>:User:Dbachmann</w:t>
        </w:r>
        <w:proofErr w:type="spellEnd"/>
        <w:proofErr w:type="gramEnd"/>
      </w:hyperlink>
      <w:r>
        <w:t xml:space="preserve"> and originally at </w:t>
      </w:r>
      <w:hyperlink r:id="rId22" w:tooltip="en:Image:Kurgan map.png" w:history="1">
        <w:proofErr w:type="spellStart"/>
        <w:r>
          <w:rPr>
            <w:rStyle w:val="Hyperlink"/>
          </w:rPr>
          <w:t>en:Image:Kurgan</w:t>
        </w:r>
        <w:proofErr w:type="spellEnd"/>
        <w:r>
          <w:rPr>
            <w:rStyle w:val="Hyperlink"/>
          </w:rPr>
          <w:t xml:space="preserve"> map.png</w:t>
        </w:r>
      </w:hyperlink>
      <w:r>
        <w:t>.</w:t>
      </w:r>
    </w:p>
    <w:p w:rsidR="00727223" w:rsidRPr="00D47A9F" w:rsidRDefault="00727223" w:rsidP="00727223"/>
    <w:p w:rsidR="00727223" w:rsidRDefault="00727223" w:rsidP="00727223">
      <w:pPr>
        <w:rPr>
          <w:b/>
          <w:bCs/>
        </w:rPr>
      </w:pPr>
    </w:p>
    <w:p w:rsidR="00727223" w:rsidRDefault="00727223" w:rsidP="00727223">
      <w:pPr>
        <w:rPr>
          <w:b/>
          <w:bCs/>
        </w:rPr>
      </w:pPr>
      <w:r>
        <w:rPr>
          <w:b/>
          <w:bCs/>
        </w:rPr>
        <w:t>References:</w:t>
      </w:r>
    </w:p>
    <w:p w:rsidR="00727223" w:rsidRDefault="00727223" w:rsidP="00727223"/>
    <w:p w:rsidR="00727223" w:rsidRDefault="00727223" w:rsidP="00727223">
      <w:pPr>
        <w:rPr>
          <w:b/>
          <w:bCs/>
        </w:rPr>
      </w:pPr>
      <w:proofErr w:type="spellStart"/>
      <w:r>
        <w:t>Biagi</w:t>
      </w:r>
      <w:proofErr w:type="spellEnd"/>
      <w:r>
        <w:t xml:space="preserve">, P. </w:t>
      </w:r>
      <w:proofErr w:type="spellStart"/>
      <w:r>
        <w:t>Gratuze</w:t>
      </w:r>
      <w:proofErr w:type="spellEnd"/>
      <w:r>
        <w:t xml:space="preserve">, B. and </w:t>
      </w:r>
      <w:proofErr w:type="spellStart"/>
      <w:r>
        <w:t>Boucetta</w:t>
      </w:r>
      <w:proofErr w:type="spellEnd"/>
      <w:r>
        <w:t xml:space="preserve">, S. 2007. “New data on the archaeological obsidians from Banat and Transylvania (Romania).” In M. </w:t>
      </w:r>
      <w:proofErr w:type="spellStart"/>
      <w:r>
        <w:t>Spataro</w:t>
      </w:r>
      <w:proofErr w:type="spellEnd"/>
      <w:r>
        <w:t xml:space="preserve"> and P. </w:t>
      </w:r>
      <w:proofErr w:type="spellStart"/>
      <w:r>
        <w:t>Biagi</w:t>
      </w:r>
      <w:proofErr w:type="spellEnd"/>
      <w:r>
        <w:t xml:space="preserve"> (eds.) </w:t>
      </w:r>
      <w:proofErr w:type="gramStart"/>
      <w:r w:rsidRPr="0094031E">
        <w:rPr>
          <w:i/>
        </w:rPr>
        <w:t>A</w:t>
      </w:r>
      <w:proofErr w:type="gramEnd"/>
      <w:r w:rsidRPr="0094031E">
        <w:rPr>
          <w:i/>
        </w:rPr>
        <w:t xml:space="preserve"> short walk through the Balkans: The first farmers of the Carpathian basin and Adjacent regions</w:t>
      </w:r>
      <w:r>
        <w:t xml:space="preserve">. </w:t>
      </w:r>
      <w:proofErr w:type="spellStart"/>
      <w:r>
        <w:t>Quaderno</w:t>
      </w:r>
      <w:proofErr w:type="spellEnd"/>
      <w:r>
        <w:t xml:space="preserve"> 12. Trieste: </w:t>
      </w:r>
      <w:proofErr w:type="spellStart"/>
      <w:r>
        <w:t>Societa</w:t>
      </w:r>
      <w:proofErr w:type="spellEnd"/>
      <w:r>
        <w:t xml:space="preserve"> per la </w:t>
      </w:r>
      <w:proofErr w:type="spellStart"/>
      <w:r>
        <w:t>preistoria</w:t>
      </w:r>
      <w:proofErr w:type="spellEnd"/>
      <w:r>
        <w:t xml:space="preserve"> e </w:t>
      </w:r>
      <w:proofErr w:type="spellStart"/>
      <w:r>
        <w:t>protoistoria</w:t>
      </w:r>
      <w:proofErr w:type="spellEnd"/>
      <w:r>
        <w:t xml:space="preserve"> </w:t>
      </w:r>
      <w:proofErr w:type="spellStart"/>
      <w:proofErr w:type="gramStart"/>
      <w:r>
        <w:t>della</w:t>
      </w:r>
      <w:proofErr w:type="spellEnd"/>
      <w:proofErr w:type="gramEnd"/>
      <w:r>
        <w:t xml:space="preserve"> </w:t>
      </w:r>
      <w:proofErr w:type="spellStart"/>
      <w:r>
        <w:t>regione</w:t>
      </w:r>
      <w:proofErr w:type="spellEnd"/>
      <w:r>
        <w:t xml:space="preserve"> Friuli-Venezia Giulia, pp. 129-39.</w:t>
      </w:r>
    </w:p>
    <w:p w:rsidR="00727223" w:rsidRDefault="00727223" w:rsidP="00727223"/>
    <w:p w:rsidR="00727223" w:rsidRDefault="00727223" w:rsidP="00727223">
      <w:r w:rsidRPr="00771CC0">
        <w:t>Chapman, J.</w:t>
      </w:r>
      <w:r>
        <w:t xml:space="preserve"> 1981. </w:t>
      </w:r>
      <w:r w:rsidRPr="0094031E">
        <w:rPr>
          <w:i/>
        </w:rPr>
        <w:t>The Vinča Culture of South East Europe. Studies in chronology, economy and society</w:t>
      </w:r>
      <w:r>
        <w:t xml:space="preserve">. British Archaeological Reports, International Series 117, Oxford: </w:t>
      </w:r>
      <w:proofErr w:type="spellStart"/>
      <w:r>
        <w:t>Archeopress</w:t>
      </w:r>
      <w:proofErr w:type="spellEnd"/>
      <w:r>
        <w:t>. 2v.</w:t>
      </w:r>
    </w:p>
    <w:p w:rsidR="00727223" w:rsidRDefault="00727223" w:rsidP="00727223">
      <w:pPr>
        <w:rPr>
          <w:rStyle w:val="HTMLCite"/>
          <w:i w:val="0"/>
        </w:rPr>
      </w:pPr>
    </w:p>
    <w:p w:rsidR="00727223" w:rsidRPr="00746896" w:rsidRDefault="00727223" w:rsidP="00727223">
      <w:pPr>
        <w:rPr>
          <w:i/>
        </w:rPr>
      </w:pPr>
      <w:proofErr w:type="spellStart"/>
      <w:r w:rsidRPr="00746896">
        <w:rPr>
          <w:rStyle w:val="HTMLCite"/>
        </w:rPr>
        <w:t>Gimbutas</w:t>
      </w:r>
      <w:proofErr w:type="spellEnd"/>
      <w:r w:rsidRPr="00746896">
        <w:rPr>
          <w:rStyle w:val="HTMLCite"/>
        </w:rPr>
        <w:t xml:space="preserve">, </w:t>
      </w:r>
      <w:proofErr w:type="spellStart"/>
      <w:r w:rsidRPr="00746896">
        <w:rPr>
          <w:rStyle w:val="HTMLCite"/>
        </w:rPr>
        <w:t>Marija</w:t>
      </w:r>
      <w:proofErr w:type="spellEnd"/>
      <w:r>
        <w:rPr>
          <w:rStyle w:val="HTMLCite"/>
        </w:rPr>
        <w:t>.</w:t>
      </w:r>
      <w:r w:rsidRPr="00746896">
        <w:rPr>
          <w:rStyle w:val="HTMLCite"/>
        </w:rPr>
        <w:t xml:space="preserve"> </w:t>
      </w:r>
      <w:r>
        <w:rPr>
          <w:rStyle w:val="HTMLCite"/>
        </w:rPr>
        <w:t>1970.</w:t>
      </w:r>
      <w:r w:rsidRPr="00746896">
        <w:rPr>
          <w:rStyle w:val="HTMLCite"/>
        </w:rPr>
        <w:t xml:space="preserve"> </w:t>
      </w:r>
      <w:r>
        <w:rPr>
          <w:rStyle w:val="HTMLCite"/>
        </w:rPr>
        <w:t>“</w:t>
      </w:r>
      <w:r w:rsidRPr="00746896">
        <w:rPr>
          <w:rStyle w:val="HTMLCite"/>
        </w:rPr>
        <w:t>Proto-Indo-European Culture: The Kurgan Culture during the Fifth, Fourth, a</w:t>
      </w:r>
      <w:r>
        <w:rPr>
          <w:rStyle w:val="HTMLCite"/>
        </w:rPr>
        <w:t>nd Third Millennia B.C.”</w:t>
      </w:r>
      <w:r w:rsidRPr="00746896">
        <w:rPr>
          <w:rStyle w:val="HTMLCite"/>
        </w:rPr>
        <w:t xml:space="preserve"> </w:t>
      </w:r>
      <w:r>
        <w:rPr>
          <w:rStyle w:val="HTMLCite"/>
        </w:rPr>
        <w:t>I</w:t>
      </w:r>
      <w:r w:rsidRPr="00746896">
        <w:rPr>
          <w:rStyle w:val="HTMLCite"/>
        </w:rPr>
        <w:t xml:space="preserve">n Cardona, George; </w:t>
      </w:r>
      <w:proofErr w:type="spellStart"/>
      <w:r w:rsidRPr="00746896">
        <w:rPr>
          <w:rStyle w:val="HTMLCite"/>
        </w:rPr>
        <w:t>Hoenigswald</w:t>
      </w:r>
      <w:proofErr w:type="spellEnd"/>
      <w:r w:rsidRPr="00746896">
        <w:rPr>
          <w:rStyle w:val="HTMLCite"/>
        </w:rPr>
        <w:t xml:space="preserve">, Henry M.; </w:t>
      </w:r>
      <w:proofErr w:type="spellStart"/>
      <w:r w:rsidRPr="00746896">
        <w:rPr>
          <w:rStyle w:val="HTMLCite"/>
        </w:rPr>
        <w:t>Senn</w:t>
      </w:r>
      <w:proofErr w:type="spellEnd"/>
      <w:r w:rsidRPr="00746896">
        <w:rPr>
          <w:rStyle w:val="HTMLCite"/>
        </w:rPr>
        <w:t>, Alfred, Indo-European and Indo-Europeans: Papers Presented at the Third Indo-European Conference at the University of Pennsylvania</w:t>
      </w:r>
      <w:r>
        <w:rPr>
          <w:rStyle w:val="HTMLCite"/>
        </w:rPr>
        <w:t>.</w:t>
      </w:r>
      <w:r w:rsidRPr="00746896">
        <w:rPr>
          <w:rStyle w:val="HTMLCite"/>
        </w:rPr>
        <w:t xml:space="preserve"> Philadelphia: University of Pennsylvania Press, pp. 155–197</w:t>
      </w:r>
      <w:r>
        <w:rPr>
          <w:rStyle w:val="HTMLCite"/>
        </w:rPr>
        <w:t>.</w:t>
      </w:r>
    </w:p>
    <w:p w:rsidR="00727223" w:rsidRDefault="00727223" w:rsidP="00727223"/>
    <w:p w:rsidR="00727223" w:rsidRDefault="00727223" w:rsidP="00727223">
      <w:proofErr w:type="spellStart"/>
      <w:r>
        <w:t>Haak</w:t>
      </w:r>
      <w:proofErr w:type="spellEnd"/>
      <w:r>
        <w:t xml:space="preserve">, Wolfgang </w:t>
      </w:r>
      <w:r w:rsidRPr="0094031E">
        <w:rPr>
          <w:i/>
        </w:rPr>
        <w:t>et al</w:t>
      </w:r>
      <w:r>
        <w:t xml:space="preserve">. 2015. “Massive migration from the steppe is a source for Indo-European languages in Europe.” </w:t>
      </w:r>
      <w:proofErr w:type="spellStart"/>
      <w:r>
        <w:t>bioRxiv</w:t>
      </w:r>
      <w:proofErr w:type="spellEnd"/>
      <w:r>
        <w:t xml:space="preserve"> preprint first posted online Feb. 10, 2015; </w:t>
      </w:r>
      <w:proofErr w:type="spellStart"/>
      <w:r>
        <w:t>doi</w:t>
      </w:r>
      <w:proofErr w:type="spellEnd"/>
      <w:r>
        <w:t xml:space="preserve">: http://dx.doi.org/10.1101/013433 </w:t>
      </w:r>
      <w:proofErr w:type="gramStart"/>
      <w:r>
        <w:t>Now</w:t>
      </w:r>
      <w:proofErr w:type="gramEnd"/>
      <w:r>
        <w:t xml:space="preserve"> published in </w:t>
      </w:r>
      <w:r>
        <w:rPr>
          <w:i/>
          <w:iCs/>
        </w:rPr>
        <w:t>Nature</w:t>
      </w:r>
      <w:r>
        <w:t xml:space="preserve"> </w:t>
      </w:r>
      <w:proofErr w:type="spellStart"/>
      <w:r>
        <w:t>doi</w:t>
      </w:r>
      <w:proofErr w:type="spellEnd"/>
      <w:r>
        <w:t xml:space="preserve">: </w:t>
      </w:r>
      <w:hyperlink r:id="rId23" w:tgtFrame="_blank" w:history="1">
        <w:r>
          <w:rPr>
            <w:rStyle w:val="Hyperlink"/>
            <w:color w:val="BC2635"/>
          </w:rPr>
          <w:t>10.1038/nature14317</w:t>
        </w:r>
      </w:hyperlink>
      <w:r>
        <w:t xml:space="preserve"> </w:t>
      </w:r>
    </w:p>
    <w:p w:rsidR="00727223" w:rsidRDefault="00727223" w:rsidP="00727223"/>
    <w:p w:rsidR="00727223" w:rsidRDefault="00727223" w:rsidP="00727223">
      <w:r>
        <w:t xml:space="preserve">Holmberg, E.J. 1964. “The Appearance of Neolithic Black Burnished Ware in Mainland Greece,” </w:t>
      </w:r>
      <w:r w:rsidRPr="00746896">
        <w:rPr>
          <w:i/>
        </w:rPr>
        <w:t>American Journal of Archaeology</w:t>
      </w:r>
      <w:r>
        <w:t xml:space="preserve"> 68(4): 343-8.</w:t>
      </w:r>
    </w:p>
    <w:p w:rsidR="00727223" w:rsidRDefault="00727223" w:rsidP="00727223"/>
    <w:p w:rsidR="00727223" w:rsidRPr="00E463DB" w:rsidRDefault="00727223" w:rsidP="00727223">
      <w:r w:rsidRPr="00E463DB">
        <w:t>Kaiser, T. and B. </w:t>
      </w:r>
      <w:proofErr w:type="spellStart"/>
      <w:r w:rsidRPr="00E463DB">
        <w:t>Voytek</w:t>
      </w:r>
      <w:proofErr w:type="spellEnd"/>
      <w:r w:rsidRPr="00E463DB">
        <w:t xml:space="preserve">. 1983. </w:t>
      </w:r>
      <w:r>
        <w:t>“</w:t>
      </w:r>
      <w:proofErr w:type="spellStart"/>
      <w:r w:rsidRPr="00E463DB">
        <w:t>Sedentism</w:t>
      </w:r>
      <w:proofErr w:type="spellEnd"/>
      <w:r w:rsidRPr="00E463DB">
        <w:t xml:space="preserve"> and economic change in the Balkan Neolithic,</w:t>
      </w:r>
      <w:r>
        <w:t>”</w:t>
      </w:r>
      <w:r w:rsidRPr="00E463DB">
        <w:t xml:space="preserve"> </w:t>
      </w:r>
      <w:r w:rsidRPr="00E463DB">
        <w:rPr>
          <w:i/>
        </w:rPr>
        <w:t>Journal of Anthropological Archaeology</w:t>
      </w:r>
      <w:r w:rsidRPr="00E463DB">
        <w:t xml:space="preserve"> 2(4): 323-353.</w:t>
      </w:r>
    </w:p>
    <w:p w:rsidR="00727223" w:rsidRDefault="00727223" w:rsidP="00727223"/>
    <w:p w:rsidR="00727223" w:rsidRPr="00746896" w:rsidRDefault="00727223" w:rsidP="00727223">
      <w:r>
        <w:t xml:space="preserve">Luca, S. A. 2008. “The Neolithic and </w:t>
      </w:r>
      <w:proofErr w:type="spellStart"/>
      <w:r>
        <w:t>Eneolithic</w:t>
      </w:r>
      <w:proofErr w:type="spellEnd"/>
      <w:r>
        <w:t xml:space="preserve"> periods in Transylvania.” In Institute of </w:t>
      </w:r>
      <w:proofErr w:type="spellStart"/>
      <w:r>
        <w:t>Archaeomythology</w:t>
      </w:r>
      <w:proofErr w:type="spellEnd"/>
      <w:r>
        <w:t xml:space="preserve"> and </w:t>
      </w:r>
      <w:proofErr w:type="spellStart"/>
      <w:r w:rsidRPr="00746896">
        <w:t>Muzeul</w:t>
      </w:r>
      <w:proofErr w:type="spellEnd"/>
      <w:r w:rsidRPr="00746896">
        <w:t xml:space="preserve"> </w:t>
      </w:r>
      <w:proofErr w:type="spellStart"/>
      <w:r w:rsidRPr="00746896">
        <w:t>Brukenthal</w:t>
      </w:r>
      <w:proofErr w:type="spellEnd"/>
      <w:r>
        <w:t xml:space="preserve">, </w:t>
      </w:r>
      <w:r w:rsidRPr="00E463DB">
        <w:rPr>
          <w:i/>
        </w:rPr>
        <w:t>The Danube script: Neo-</w:t>
      </w:r>
      <w:proofErr w:type="spellStart"/>
      <w:r w:rsidRPr="00E463DB">
        <w:rPr>
          <w:i/>
        </w:rPr>
        <w:t>eneolithic</w:t>
      </w:r>
      <w:proofErr w:type="spellEnd"/>
      <w:r w:rsidRPr="00E463DB">
        <w:rPr>
          <w:i/>
        </w:rPr>
        <w:t xml:space="preserve"> writing in southeastern Europe</w:t>
      </w:r>
      <w:r w:rsidRPr="00746896">
        <w:t xml:space="preserve"> [exhibition catalogue]</w:t>
      </w:r>
      <w:r>
        <w:t xml:space="preserve">. Sebastopol, California, Institute of </w:t>
      </w:r>
      <w:proofErr w:type="spellStart"/>
      <w:r>
        <w:t>Archaeomythology</w:t>
      </w:r>
      <w:proofErr w:type="spellEnd"/>
      <w:r>
        <w:t>,</w:t>
      </w:r>
      <w:r w:rsidRPr="00746896">
        <w:t xml:space="preserve"> pp. 23-38,</w:t>
      </w:r>
    </w:p>
    <w:p w:rsidR="00727223" w:rsidRDefault="00727223" w:rsidP="00727223"/>
    <w:p w:rsidR="00727223" w:rsidRDefault="00727223" w:rsidP="00727223">
      <w:proofErr w:type="spellStart"/>
      <w:r>
        <w:t>Özdoğan</w:t>
      </w:r>
      <w:proofErr w:type="spellEnd"/>
      <w:r>
        <w:t xml:space="preserve">, M. 2003. “The Prehistory of Northwestern Turkey - The synoptic overview of the latest evidence.” In D.V. </w:t>
      </w:r>
      <w:proofErr w:type="spellStart"/>
      <w:r>
        <w:t>Grammenos</w:t>
      </w:r>
      <w:proofErr w:type="spellEnd"/>
      <w:r>
        <w:t xml:space="preserve"> (ed.) </w:t>
      </w:r>
      <w:r w:rsidRPr="0094031E">
        <w:rPr>
          <w:i/>
        </w:rPr>
        <w:t>Recent Research in the Prehistory of the Balkans</w:t>
      </w:r>
      <w:r>
        <w:t>.  Thessaloniki: Archaeological Institute of Northern Greece and the Archaeological Receipts Fund, pp. 329- 68.</w:t>
      </w:r>
    </w:p>
    <w:p w:rsidR="00727223" w:rsidRDefault="00727223" w:rsidP="00727223"/>
    <w:p w:rsidR="00727223" w:rsidRDefault="00727223" w:rsidP="00727223">
      <w:proofErr w:type="spellStart"/>
      <w:r>
        <w:t>Thissen</w:t>
      </w:r>
      <w:proofErr w:type="spellEnd"/>
      <w:r>
        <w:t xml:space="preserve">, L. (2001) “Time trajectories for the Neolithic of Central Anatolia, </w:t>
      </w:r>
      <w:proofErr w:type="spellStart"/>
      <w:r>
        <w:t>CANeW</w:t>
      </w:r>
      <w:proofErr w:type="spellEnd"/>
      <w:r>
        <w:t xml:space="preserve"> project,” http://www.canew.org/files/Thissen%20lecture.pdf, [23.11.2001]: 1-26. </w:t>
      </w:r>
    </w:p>
    <w:p w:rsidR="00727223" w:rsidRDefault="00727223" w:rsidP="00727223"/>
    <w:p w:rsidR="00727223" w:rsidRDefault="00727223" w:rsidP="00727223">
      <w:r>
        <w:t>─── (2007) “</w:t>
      </w:r>
      <w:proofErr w:type="spellStart"/>
      <w:r>
        <w:t>CANeW</w:t>
      </w:r>
      <w:proofErr w:type="spellEnd"/>
      <w:r>
        <w:t xml:space="preserve"> Central Anatolia and Cilicia 14C Chart, </w:t>
      </w:r>
      <w:proofErr w:type="spellStart"/>
      <w:r>
        <w:t>CANeW</w:t>
      </w:r>
      <w:proofErr w:type="spellEnd"/>
      <w:r>
        <w:t xml:space="preserve"> project,” http://www.canew.org/cachronobox.html, updated at 16.03.2007.</w:t>
      </w:r>
    </w:p>
    <w:p w:rsidR="00727223" w:rsidRDefault="00727223" w:rsidP="00727223"/>
    <w:p w:rsidR="00727223" w:rsidRDefault="00727223" w:rsidP="00727223">
      <w:pPr>
        <w:rPr>
          <w:rFonts w:eastAsia="Arial Unicode MS"/>
        </w:rPr>
      </w:pPr>
      <w:proofErr w:type="spellStart"/>
      <w:r w:rsidRPr="00062D94">
        <w:t>Vasic</w:t>
      </w:r>
      <w:proofErr w:type="spellEnd"/>
      <w:r w:rsidRPr="00062D94">
        <w:t xml:space="preserve">, </w:t>
      </w:r>
      <w:proofErr w:type="spellStart"/>
      <w:r w:rsidRPr="00062D94">
        <w:rPr>
          <w:rFonts w:eastAsia="Arial Unicode MS" w:hint="eastAsia"/>
        </w:rPr>
        <w:t>Mīloje</w:t>
      </w:r>
      <w:proofErr w:type="spellEnd"/>
      <w:r w:rsidRPr="00062D94">
        <w:rPr>
          <w:rFonts w:eastAsia="Arial Unicode MS" w:hint="eastAsia"/>
        </w:rPr>
        <w:t xml:space="preserve"> M</w:t>
      </w:r>
      <w:r w:rsidRPr="00062D94">
        <w:rPr>
          <w:rFonts w:eastAsia="Arial Unicode MS"/>
        </w:rPr>
        <w:t>.</w:t>
      </w:r>
      <w:r w:rsidRPr="00062D94">
        <w:t xml:space="preserve"> 1932-1936. </w:t>
      </w:r>
      <w:proofErr w:type="spellStart"/>
      <w:r w:rsidRPr="00062D94">
        <w:rPr>
          <w:i/>
        </w:rPr>
        <w:t>Preistoriska</w:t>
      </w:r>
      <w:proofErr w:type="spellEnd"/>
      <w:r w:rsidRPr="00062D94">
        <w:rPr>
          <w:i/>
        </w:rPr>
        <w:t xml:space="preserve"> Vinča</w:t>
      </w:r>
      <w:r w:rsidRPr="00062D94">
        <w:t xml:space="preserve">. </w:t>
      </w:r>
      <w:r w:rsidRPr="00062D94">
        <w:rPr>
          <w:rFonts w:eastAsia="Arial Unicode MS" w:hint="eastAsia"/>
        </w:rPr>
        <w:t xml:space="preserve">Beograd </w:t>
      </w:r>
      <w:r w:rsidRPr="00062D94">
        <w:rPr>
          <w:rFonts w:eastAsia="Arial Unicode MS"/>
        </w:rPr>
        <w:t>[</w:t>
      </w:r>
      <w:r w:rsidRPr="00062D94">
        <w:t>Belgrade]:</w:t>
      </w:r>
      <w:r w:rsidRPr="00062D94">
        <w:rPr>
          <w:rFonts w:eastAsia="Arial Unicode MS" w:hint="eastAsia"/>
        </w:rPr>
        <w:t xml:space="preserve"> </w:t>
      </w:r>
      <w:proofErr w:type="spellStart"/>
      <w:r w:rsidRPr="00062D94">
        <w:rPr>
          <w:rFonts w:eastAsia="Arial Unicode MS" w:hint="eastAsia"/>
        </w:rPr>
        <w:t>Državne</w:t>
      </w:r>
      <w:proofErr w:type="spellEnd"/>
      <w:r w:rsidRPr="00062D94">
        <w:rPr>
          <w:rFonts w:eastAsia="Arial Unicode MS" w:hint="eastAsia"/>
        </w:rPr>
        <w:t xml:space="preserve"> </w:t>
      </w:r>
      <w:proofErr w:type="spellStart"/>
      <w:r w:rsidRPr="00062D94">
        <w:rPr>
          <w:rFonts w:eastAsia="Arial Unicode MS" w:hint="eastAsia"/>
        </w:rPr>
        <w:t>Štamparije</w:t>
      </w:r>
      <w:proofErr w:type="spellEnd"/>
      <w:r w:rsidRPr="00062D94">
        <w:rPr>
          <w:rFonts w:eastAsia="Arial Unicode MS"/>
        </w:rPr>
        <w:t>. 4 v.</w:t>
      </w:r>
    </w:p>
    <w:p w:rsidR="00727223" w:rsidRDefault="00727223" w:rsidP="00727223">
      <w:pPr>
        <w:rPr>
          <w:rFonts w:eastAsia="Arial Unicode MS"/>
        </w:rPr>
      </w:pPr>
    </w:p>
    <w:p w:rsidR="00727223" w:rsidRPr="003B1B1E" w:rsidRDefault="00727223" w:rsidP="00727223">
      <w:pPr>
        <w:rPr>
          <w:color w:val="000000"/>
        </w:rPr>
      </w:pPr>
      <w:r>
        <w:rPr>
          <w:rFonts w:eastAsia="Arial Unicode MS"/>
        </w:rPr>
        <w:t xml:space="preserve">Winn, Milton </w:t>
      </w:r>
      <w:proofErr w:type="spellStart"/>
      <w:r>
        <w:rPr>
          <w:rFonts w:eastAsia="Arial Unicode MS"/>
        </w:rPr>
        <w:t>MacChesney</w:t>
      </w:r>
      <w:proofErr w:type="spellEnd"/>
      <w:r>
        <w:rPr>
          <w:rFonts w:eastAsia="Arial Unicode MS"/>
        </w:rPr>
        <w:t xml:space="preserve">. 1981. </w:t>
      </w:r>
      <w:hyperlink r:id="rId24" w:history="1">
        <w:r w:rsidRPr="003B1B1E">
          <w:rPr>
            <w:rStyle w:val="Hyperlink"/>
            <w:i/>
            <w:color w:val="000000"/>
            <w:u w:val="none"/>
          </w:rPr>
          <w:t>Pre</w:t>
        </w:r>
        <w:r>
          <w:rPr>
            <w:rStyle w:val="Hyperlink"/>
            <w:i/>
            <w:color w:val="000000"/>
            <w:u w:val="none"/>
          </w:rPr>
          <w:t>-writing in Southeastern Europe</w:t>
        </w:r>
        <w:r w:rsidRPr="003B1B1E">
          <w:rPr>
            <w:rStyle w:val="Hyperlink"/>
            <w:i/>
            <w:color w:val="000000"/>
            <w:u w:val="none"/>
          </w:rPr>
          <w:t xml:space="preserve">: the sign system of the </w:t>
        </w:r>
        <w:proofErr w:type="spellStart"/>
        <w:r w:rsidRPr="003B1B1E">
          <w:rPr>
            <w:rStyle w:val="Hyperlink"/>
            <w:i/>
            <w:color w:val="000000"/>
            <w:u w:val="none"/>
          </w:rPr>
          <w:t>Vinča</w:t>
        </w:r>
        <w:proofErr w:type="spellEnd"/>
        <w:r w:rsidRPr="003B1B1E">
          <w:rPr>
            <w:rStyle w:val="Hyperlink"/>
            <w:i/>
            <w:color w:val="000000"/>
            <w:u w:val="none"/>
          </w:rPr>
          <w:t xml:space="preserve"> culture ca. 4000 B.C.</w:t>
        </w:r>
      </w:hyperlink>
      <w:r w:rsidRPr="003B1B1E">
        <w:rPr>
          <w:color w:val="000000"/>
        </w:rPr>
        <w:t xml:space="preserve"> </w:t>
      </w:r>
      <w:r>
        <w:rPr>
          <w:rStyle w:val="itempublisher"/>
        </w:rPr>
        <w:t>Calgary, Alberta: Western Publishers.</w:t>
      </w:r>
    </w:p>
    <w:p w:rsidR="00292B63" w:rsidRDefault="0075617C" w:rsidP="0075617C">
      <w:pPr>
        <w:rPr>
          <w:b/>
          <w:bCs/>
        </w:rPr>
      </w:pPr>
      <w:r>
        <w:rPr>
          <w:b/>
          <w:bCs/>
        </w:rPr>
        <w:t>References:</w:t>
      </w:r>
    </w:p>
    <w:p w:rsidR="0075617C" w:rsidRPr="0075617C" w:rsidRDefault="0075617C" w:rsidP="0075617C">
      <w:r>
        <w:rPr>
          <w:rStyle w:val="Emphasis"/>
        </w:rPr>
        <w:t xml:space="preserve">Reuters, 11 November 2007, </w:t>
      </w:r>
      <w:proofErr w:type="spellStart"/>
      <w:r>
        <w:rPr>
          <w:rStyle w:val="Emphasis"/>
        </w:rPr>
        <w:t>Kathimerini</w:t>
      </w:r>
      <w:proofErr w:type="spellEnd"/>
      <w:r>
        <w:rPr>
          <w:rStyle w:val="Emphasis"/>
        </w:rPr>
        <w:t>, 16 November 2007</w:t>
      </w:r>
    </w:p>
    <w:p w:rsidR="005B08B4" w:rsidRDefault="005B08B4"/>
    <w:sectPr w:rsidR="005B08B4" w:rsidSect="007B358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B3E54DA"/>
    <w:multiLevelType w:val="multilevel"/>
    <w:tmpl w:val="E1FAE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0E1"/>
    <w:rsid w:val="00151F1C"/>
    <w:rsid w:val="00292B63"/>
    <w:rsid w:val="002A50E1"/>
    <w:rsid w:val="00596ACB"/>
    <w:rsid w:val="005B08B4"/>
    <w:rsid w:val="00600128"/>
    <w:rsid w:val="006C3DBD"/>
    <w:rsid w:val="00727223"/>
    <w:rsid w:val="0075617C"/>
    <w:rsid w:val="007B3580"/>
    <w:rsid w:val="009048D1"/>
    <w:rsid w:val="00935E44"/>
    <w:rsid w:val="00BF55D8"/>
    <w:rsid w:val="00D36834"/>
    <w:rsid w:val="00D93B22"/>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7C94A6-D78B-4C60-A78C-7820C7116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08B4"/>
    <w:rPr>
      <w:color w:val="0000FF"/>
      <w:u w:val="single"/>
    </w:rPr>
  </w:style>
  <w:style w:type="character" w:styleId="FollowedHyperlink">
    <w:name w:val="FollowedHyperlink"/>
    <w:basedOn w:val="DefaultParagraphFont"/>
    <w:uiPriority w:val="99"/>
    <w:semiHidden/>
    <w:unhideWhenUsed/>
    <w:rsid w:val="005B08B4"/>
    <w:rPr>
      <w:color w:val="954F72" w:themeColor="followedHyperlink"/>
      <w:u w:val="single"/>
    </w:rPr>
  </w:style>
  <w:style w:type="paragraph" w:styleId="NormalWeb">
    <w:name w:val="Normal (Web)"/>
    <w:basedOn w:val="Normal"/>
    <w:uiPriority w:val="99"/>
    <w:unhideWhenUsed/>
    <w:rsid w:val="005B08B4"/>
    <w:pPr>
      <w:spacing w:before="100" w:beforeAutospacing="1" w:after="100" w:afterAutospacing="1" w:line="240" w:lineRule="auto"/>
    </w:pPr>
    <w:rPr>
      <w:rFonts w:eastAsia="Times New Roman"/>
      <w:color w:val="auto"/>
    </w:rPr>
  </w:style>
  <w:style w:type="character" w:styleId="Emphasis">
    <w:name w:val="Emphasis"/>
    <w:basedOn w:val="DefaultParagraphFont"/>
    <w:uiPriority w:val="20"/>
    <w:qFormat/>
    <w:rsid w:val="005B08B4"/>
    <w:rPr>
      <w:i/>
      <w:iCs/>
    </w:rPr>
  </w:style>
  <w:style w:type="character" w:customStyle="1" w:styleId="plainlinks">
    <w:name w:val="plainlinks"/>
    <w:basedOn w:val="DefaultParagraphFont"/>
    <w:rsid w:val="0075617C"/>
  </w:style>
  <w:style w:type="character" w:customStyle="1" w:styleId="geo-dms">
    <w:name w:val="geo-dms"/>
    <w:basedOn w:val="DefaultParagraphFont"/>
    <w:rsid w:val="0075617C"/>
  </w:style>
  <w:style w:type="character" w:customStyle="1" w:styleId="latitude">
    <w:name w:val="latitude"/>
    <w:basedOn w:val="DefaultParagraphFont"/>
    <w:rsid w:val="0075617C"/>
  </w:style>
  <w:style w:type="character" w:customStyle="1" w:styleId="longitude">
    <w:name w:val="longitude"/>
    <w:basedOn w:val="DefaultParagraphFont"/>
    <w:rsid w:val="0075617C"/>
  </w:style>
  <w:style w:type="character" w:styleId="Strong">
    <w:name w:val="Strong"/>
    <w:qFormat/>
    <w:rsid w:val="0075617C"/>
    <w:rPr>
      <w:b/>
      <w:bCs/>
    </w:rPr>
  </w:style>
  <w:style w:type="character" w:styleId="HTMLCite">
    <w:name w:val="HTML Cite"/>
    <w:uiPriority w:val="99"/>
    <w:semiHidden/>
    <w:unhideWhenUsed/>
    <w:rsid w:val="00727223"/>
    <w:rPr>
      <w:i/>
      <w:iCs/>
    </w:rPr>
  </w:style>
  <w:style w:type="character" w:customStyle="1" w:styleId="itempublisher">
    <w:name w:val="itempublisher"/>
    <w:rsid w:val="007272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035431">
      <w:bodyDiv w:val="1"/>
      <w:marLeft w:val="0"/>
      <w:marRight w:val="0"/>
      <w:marTop w:val="0"/>
      <w:marBottom w:val="0"/>
      <w:divBdr>
        <w:top w:val="none" w:sz="0" w:space="0" w:color="auto"/>
        <w:left w:val="none" w:sz="0" w:space="0" w:color="auto"/>
        <w:bottom w:val="none" w:sz="0" w:space="0" w:color="auto"/>
        <w:right w:val="none" w:sz="0" w:space="0" w:color="auto"/>
      </w:divBdr>
    </w:div>
    <w:div w:id="186609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ross" TargetMode="External"/><Relationship Id="rId13" Type="http://schemas.openxmlformats.org/officeDocument/2006/relationships/image" Target="media/image5.emf"/><Relationship Id="rId18" Type="http://schemas.openxmlformats.org/officeDocument/2006/relationships/image" Target="https://upload.wikimedia.org/wikipedia/commons/2/20/Kurgan_map.pn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User:Dbachmann" TargetMode="External"/><Relationship Id="rId7" Type="http://schemas.openxmlformats.org/officeDocument/2006/relationships/hyperlink" Target="https://en.wikipedia.org/wiki/Pictish_stone" TargetMode="Externa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pload.wikimedia.org/wikipedia/commons/thumb/e/ea/Starcevo_culture.png/450px-Starcevo_culture.png" TargetMode="External"/><Relationship Id="rId20" Type="http://schemas.openxmlformats.org/officeDocument/2006/relationships/hyperlink" Target="https://commons.wikimedia.org/w/index.php?title=Kurgan&amp;action=edit&amp;redlink=1"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emf"/><Relationship Id="rId24" Type="http://schemas.openxmlformats.org/officeDocument/2006/relationships/hyperlink" Target="http://www.worldcat.org/title/pre-writing-in-southeastern-europe-the-sgin-system-of-the-vinca-culture-ca-4000-bc/oclc/781534609&amp;referer=brief_results"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dx.doi.org/10.1038/nature14317" TargetMode="External"/><Relationship Id="rId10" Type="http://schemas.openxmlformats.org/officeDocument/2006/relationships/hyperlink" Target="https://tools.wmflabs.org/geohack/geohack.php?pagename=Plo%C4%8Dnik&amp;params=43_12_12_N_21_21_33_E_region:RS_type:city(182)" TargetMode="External"/><Relationship Id="rId19" Type="http://schemas.openxmlformats.org/officeDocument/2006/relationships/hyperlink" Target="https://commons.wikimedia.org/w/index.php?title=Marija_Gimbutas&amp;action=edit&amp;redlink=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hyperlink" Target="https://en.wikipedia.org/wiki/Image:Kurgan_map.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3451</TotalTime>
  <Pages>10</Pages>
  <Words>1867</Words>
  <Characters>10647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2018-07-23T13:43:00Z</dcterms:created>
  <dcterms:modified xsi:type="dcterms:W3CDTF">2018-08-29T23:34:00Z</dcterms:modified>
</cp:coreProperties>
</file>