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5.jpeg" ContentType="image/jpeg"/>
  <Override PartName="/word/media/image7.png" ContentType="image/pn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A000-Asia-China-Liangzhu-Cong-Eight Tier-Jade-</w:t>
      </w:r>
      <w:r>
        <w:rPr>
          <w:rStyle w:val="St"/>
        </w:rPr>
        <w:t>ca 2250 BCE</w:t>
      </w:r>
      <w:r>
        <w:rPr/>
        <w:t xml:space="preserve"> </w:t>
      </w:r>
    </w:p>
    <w:p>
      <w:pPr>
        <w:pStyle w:val="Normal"/>
        <w:rPr/>
      </w:pPr>
      <w:r>
        <w:rPr>
          <w:lang w:val="en-US" w:eastAsia="en-US"/>
        </w:rPr>
        <w:drawing>
          <wp:inline distT="0" distB="0" distL="0" distR="0">
            <wp:extent cx="3026410" cy="4069715"/>
            <wp:effectExtent l="0" t="0" r="0" b="0"/>
            <wp:docPr id="1"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8" descr="" title=""/>
                    <pic:cNvPicPr>
                      <a:picLocks noChangeAspect="1" noChangeArrowheads="1"/>
                    </pic:cNvPicPr>
                  </pic:nvPicPr>
                  <pic:blipFill>
                    <a:blip r:embed="rId2"/>
                    <a:srcRect l="-8" t="-6" r="-8" b="-6"/>
                    <a:stretch>
                      <a:fillRect/>
                    </a:stretch>
                  </pic:blipFill>
                  <pic:spPr bwMode="auto">
                    <a:xfrm>
                      <a:off x="0" y="0"/>
                      <a:ext cx="3026410" cy="4069715"/>
                    </a:xfrm>
                    <a:prstGeom prst="rect">
                      <a:avLst/>
                    </a:prstGeom>
                  </pic:spPr>
                </pic:pic>
              </a:graphicData>
            </a:graphic>
          </wp:inline>
        </w:drawing>
      </w:r>
      <w:r>
        <w:rPr/>
        <w:drawing>
          <wp:inline distT="0" distB="0" distL="0" distR="0">
            <wp:extent cx="3304540" cy="334073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7" t="-7" r="-7" b="-7"/>
                    <a:stretch>
                      <a:fillRect/>
                    </a:stretch>
                  </pic:blipFill>
                  <pic:spPr bwMode="auto">
                    <a:xfrm>
                      <a:off x="0" y="0"/>
                      <a:ext cx="3304540" cy="3340735"/>
                    </a:xfrm>
                    <a:prstGeom prst="rect">
                      <a:avLst/>
                    </a:prstGeom>
                  </pic:spPr>
                </pic:pic>
              </a:graphicData>
            </a:graphic>
          </wp:inline>
        </w:drawing>
      </w:r>
    </w:p>
    <w:p>
      <w:pPr>
        <w:pStyle w:val="Normal"/>
        <w:rPr/>
      </w:pPr>
      <w:r>
        <w:rPr/>
        <w:drawing>
          <wp:inline distT="0" distB="0" distL="0" distR="0">
            <wp:extent cx="3492500" cy="437007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0" t="-8" r="-10" b="-8"/>
                    <a:stretch>
                      <a:fillRect/>
                    </a:stretch>
                  </pic:blipFill>
                  <pic:spPr bwMode="auto">
                    <a:xfrm>
                      <a:off x="0" y="0"/>
                      <a:ext cx="3492500" cy="4370070"/>
                    </a:xfrm>
                    <a:prstGeom prst="rect">
                      <a:avLst/>
                    </a:prstGeom>
                  </pic:spPr>
                </pic:pic>
              </a:graphicData>
            </a:graphic>
          </wp:inline>
        </w:drawing>
      </w:r>
      <w:r>
        <w:rPr>
          <w:rFonts w:eastAsia="Times New Roman"/>
        </w:rPr>
        <w:t xml:space="preserve">  </w:t>
      </w:r>
      <w:r>
        <w:rPr/>
        <w:t xml:space="preserve">SHAPE  \* MERGEFORMAT </w:t>
      </w:r>
      <w:r>
        <w:rPr>
          <w:lang w:val="en-US" w:eastAsia="en-US"/>
        </w:rPr>
        <w:drawing>
          <wp:inline distT="0" distB="0" distL="0" distR="0">
            <wp:extent cx="3026410" cy="4069715"/>
            <wp:effectExtent l="0" t="0" r="0" b="0"/>
            <wp:docPr id="4"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8" descr="" title=""/>
                    <pic:cNvPicPr>
                      <a:picLocks noChangeAspect="1" noChangeArrowheads="1"/>
                    </pic:cNvPicPr>
                  </pic:nvPicPr>
                  <pic:blipFill>
                    <a:blip r:embed="rId5"/>
                    <a:srcRect l="-8" t="-6" r="-8" b="-6"/>
                    <a:stretch>
                      <a:fillRect/>
                    </a:stretch>
                  </pic:blipFill>
                  <pic:spPr bwMode="auto">
                    <a:xfrm>
                      <a:off x="0" y="0"/>
                      <a:ext cx="3026410" cy="4069715"/>
                    </a:xfrm>
                    <a:prstGeom prst="rect">
                      <a:avLst/>
                    </a:prstGeom>
                  </pic:spPr>
                </pic:pic>
              </a:graphicData>
            </a:graphic>
          </wp:inline>
        </w:drawing>
      </w:r>
    </w:p>
    <w:p>
      <w:pPr>
        <w:pStyle w:val="Normal"/>
        <w:rPr/>
      </w:pPr>
      <w:r>
        <w:rPr/>
        <w:drawing>
          <wp:inline distT="0" distB="0" distL="0" distR="0">
            <wp:extent cx="4371975" cy="616267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11" t="-7" r="-11" b="-7"/>
                    <a:stretch>
                      <a:fillRect/>
                    </a:stretch>
                  </pic:blipFill>
                  <pic:spPr bwMode="auto">
                    <a:xfrm>
                      <a:off x="0" y="0"/>
                      <a:ext cx="4371975" cy="6162675"/>
                    </a:xfrm>
                    <a:prstGeom prst="rect">
                      <a:avLst/>
                    </a:prstGeom>
                  </pic:spPr>
                </pic:pic>
              </a:graphicData>
            </a:graphic>
          </wp:inline>
        </w:drawing>
      </w:r>
    </w:p>
    <w:p>
      <w:pPr>
        <w:pStyle w:val="Normal"/>
        <w:rPr/>
      </w:pPr>
      <w:r>
        <w:rPr/>
        <w:t xml:space="preserve">Figs. 1-5. </w:t>
      </w:r>
    </w:p>
    <w:p>
      <w:pPr>
        <w:pStyle w:val="Normal"/>
        <w:rPr/>
      </w:pPr>
      <w:r>
        <w:rPr>
          <w:rStyle w:val="StrongEmphasis"/>
        </w:rPr>
        <w:t>Case no.:</w:t>
      </w:r>
    </w:p>
    <w:p>
      <w:pPr>
        <w:pStyle w:val="Normal"/>
        <w:rPr/>
      </w:pPr>
      <w:r>
        <w:rPr>
          <w:rStyle w:val="StrongEmphasis"/>
        </w:rPr>
        <w:t>Accession Number:</w:t>
      </w:r>
    </w:p>
    <w:p>
      <w:pPr>
        <w:pStyle w:val="Normal"/>
        <w:rPr>
          <w:rStyle w:val="StrongEmphasis"/>
        </w:rPr>
      </w:pPr>
      <w:r>
        <w:rPr>
          <w:rStyle w:val="StrongEmphasis"/>
        </w:rPr>
        <w:t xml:space="preserve">Formal Label: </w:t>
      </w:r>
      <w:r>
        <w:rPr/>
        <w:t>Liangzhu-Cong-Eight Tier-Jade-</w:t>
      </w:r>
      <w:r>
        <w:rPr>
          <w:rStyle w:val="St"/>
        </w:rPr>
        <w:t xml:space="preserve"> ca 2250 BCE</w:t>
      </w:r>
    </w:p>
    <w:p>
      <w:pPr>
        <w:pStyle w:val="Normal"/>
        <w:rPr>
          <w:b/>
          <w:b/>
          <w:bCs/>
        </w:rPr>
      </w:pPr>
      <w:r>
        <w:rPr>
          <w:b/>
          <w:bCs/>
        </w:rPr>
        <w:t>Display Description:</w:t>
      </w:r>
    </w:p>
    <w:p>
      <w:pPr>
        <w:pStyle w:val="Normal"/>
        <w:ind w:firstLine="720"/>
        <w:rPr/>
      </w:pPr>
      <w:r>
        <w:rPr/>
        <w:t xml:space="preserve">This </w:t>
      </w:r>
      <w:r>
        <w:rPr>
          <w:iCs/>
        </w:rPr>
        <w:t>cong</w:t>
      </w:r>
      <w:r>
        <w:rPr>
          <w:i/>
          <w:iCs/>
        </w:rPr>
        <w:t xml:space="preserve"> </w:t>
      </w:r>
      <w:r>
        <w:rPr/>
        <w:t>is</w:t>
      </w:r>
      <w:r>
        <w:rPr>
          <w:i/>
          <w:iCs/>
        </w:rPr>
        <w:t xml:space="preserve"> </w:t>
      </w:r>
      <w:r>
        <w:rPr/>
        <w:t xml:space="preserve">in the color of blackened Earth. As congs became more elongated the original paring of animal and anthropomorphic masks became obliterated, with only the human mask surviving as in this example. </w:t>
      </w:r>
      <w:r>
        <w:rPr>
          <w:b/>
        </w:rPr>
        <w:t>At the end point of this trend the mask became mere ridges that no longer had even an abstract likeness to a human mask.</w:t>
      </w:r>
      <w:r>
        <w:rPr/>
        <w:t xml:space="preserve">  Finally, the cong was no longer made of jade the divine substance but of wood. Its secularization was complete.</w:t>
      </w:r>
    </w:p>
    <w:p>
      <w:pPr>
        <w:pStyle w:val="Normal"/>
        <w:ind w:firstLine="720"/>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historical succession of generations purely abstractly. </w:t>
      </w:r>
    </w:p>
    <w:p>
      <w:pPr>
        <w:pStyle w:val="Normal"/>
        <w:ind w:firstLine="720"/>
        <w:rPr/>
      </w:pPr>
      <w:r>
        <w:rPr/>
      </w:r>
    </w:p>
    <w:p>
      <w:pPr>
        <w:pStyle w:val="Normal"/>
        <w:ind w:firstLine="720"/>
        <w:rPr/>
      </w:pPr>
      <w:r>
        <w:rPr/>
        <w:t>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pPr>
        <w:pStyle w:val="Normal"/>
        <w:ind w:firstLine="720"/>
        <w:rPr/>
      </w:pPr>
      <w:r>
        <w:rP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ind w:firstLine="720"/>
        <w:rPr/>
      </w:pPr>
      <w:r>
        <w:rPr/>
        <w:t xml:space="preserve">According to Hayashi Minao, a Japanese expert of Liangzhu jades, two-tier congs are the earliest and were produced in the early Liangzhu period, ca. 3200 BCE, based on archaeologically excavated examples (Hayashi 1973; Hayashi 1990:6). In later Liangzhu phases such as in this example, congs were elongated with multiple tiers. In the early Liangzhu period the central hole was characteristically wide and as the congs were elongated the central holes, generally, were narrowed. </w:t>
      </w:r>
    </w:p>
    <w:p>
      <w:pPr>
        <w:pStyle w:val="Normal"/>
        <w:ind w:firstLine="720"/>
        <w:rPr/>
      </w:pPr>
      <w:r>
        <w:rP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ind w:firstLine="720"/>
        <w:rPr/>
      </w:pPr>
      <w:r>
        <w:rPr/>
        <w:t xml:space="preserve">The interior of the column was believed to be the conduit for the communication with the numinous spirits that were depicted on its external surface. </w:t>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3300-2250 BCE</w:t>
      </w:r>
      <w:r>
        <w:rPr>
          <w:rStyle w:val="StrongEmphasis"/>
        </w:rPr>
        <w:t xml:space="preserve"> </w:t>
      </w:r>
    </w:p>
    <w:p>
      <w:pPr>
        <w:pStyle w:val="Normal"/>
        <w:rPr/>
      </w:pPr>
      <w:r>
        <w:rPr>
          <w:rStyle w:val="StrongEmphasis"/>
        </w:rPr>
        <w:t>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6"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title=""/>
                    <pic:cNvPicPr>
                      <a:picLocks noChangeAspect="1" noChangeArrowheads="1"/>
                    </pic:cNvPicPr>
                  </pic:nvPicPr>
                  <pic:blipFill>
                    <a:blip r:embed="rId7"/>
                    <a:srcRect l="-13" t="-18" r="-13" b="-18"/>
                    <a:stretch>
                      <a:fillRect/>
                    </a:stretch>
                  </pic:blipFill>
                  <pic:spPr bwMode="auto">
                    <a:xfrm>
                      <a:off x="0" y="0"/>
                      <a:ext cx="3676650" cy="2581275"/>
                    </a:xfrm>
                    <a:prstGeom prst="rect">
                      <a:avLst/>
                    </a:prstGeom>
                  </pic:spPr>
                </pic:pic>
              </a:graphicData>
            </a:graphic>
          </wp:inline>
        </w:drawing>
      </w:r>
    </w:p>
    <w:p>
      <w:pPr>
        <w:pStyle w:val="Normal"/>
        <w:rPr/>
      </w:pPr>
      <w:r>
        <w:rPr>
          <w:lang w:val="en-US" w:eastAsia="en-US"/>
        </w:rPr>
        <w:t>Fig. 6. Location of  Liangzhu site proper.Source: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715635" cy="4467860"/>
            <wp:effectExtent l="0" t="0" r="0" b="0"/>
            <wp:docPr id="7"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title=""/>
                    <pic:cNvPicPr>
                      <a:picLocks noChangeAspect="1" noChangeArrowheads="1"/>
                    </pic:cNvPicPr>
                  </pic:nvPicPr>
                  <pic:blipFill>
                    <a:blip r:embed="rId8"/>
                    <a:srcRect l="-6" t="-8" r="-6" b="-8"/>
                    <a:stretch>
                      <a:fillRect/>
                    </a:stretch>
                  </pic:blipFill>
                  <pic:spPr bwMode="auto">
                    <a:xfrm>
                      <a:off x="0" y="0"/>
                      <a:ext cx="5715635" cy="4467860"/>
                    </a:xfrm>
                    <a:prstGeom prst="rect">
                      <a:avLst/>
                    </a:prstGeom>
                  </pic:spPr>
                </pic:pic>
              </a:graphicData>
            </a:graphic>
          </wp:inline>
        </w:drawing>
      </w:r>
    </w:p>
    <w:p>
      <w:pPr>
        <w:pStyle w:val="Normal"/>
        <w:rPr>
          <w:lang w:val="en-US" w:eastAsia="en-US"/>
        </w:rPr>
      </w:pPr>
      <w:r>
        <w:rPr>
          <w:lang w:val="en-US" w:eastAsia="en-US"/>
        </w:rPr>
        <w:t xml:space="preserve">Fig. 7.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8"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title=""/>
                    <pic:cNvPicPr>
                      <a:picLocks noChangeAspect="1" noChangeArrowheads="1"/>
                    </pic:cNvPicPr>
                  </pic:nvPicPr>
                  <pic:blipFill>
                    <a:blip r:embed="rId9"/>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8. </w:t>
      </w:r>
      <w:r>
        <w:rPr/>
        <w:t>Detail of Liangzhu site proper. After Zhou Ying 2007.</w:t>
      </w:r>
    </w:p>
    <w:p>
      <w:pPr>
        <w:pStyle w:val="Normal"/>
        <w:rPr>
          <w:b/>
          <w:b/>
        </w:rPr>
      </w:pPr>
      <w:r>
        <w:rPr>
          <w:b/>
        </w:rPr>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H 1.8 in., W 1.2 x1.2 in</w:t>
      </w:r>
    </w:p>
    <w:p>
      <w:pPr>
        <w:pStyle w:val="Normal"/>
        <w:rPr/>
      </w:pPr>
      <w:r>
        <w:rPr>
          <w:rStyle w:val="StrongEmphasis"/>
        </w:rPr>
        <w:t>Weight:  112 gm</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rPr>
      </w:pPr>
      <w:r>
        <w:rPr>
          <w:b/>
          <w:bCs/>
        </w:rPr>
        <w:t>References:</w:t>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rPr>
      </w:pPr>
      <w:r>
        <w:rPr>
          <w:rFonts w:cs="Symbol"/>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
    <w:name w:val="st"/>
    <w:qFormat/>
    <w:rPr/>
  </w:style>
  <w:style w:type="character" w:styleId="StrongEmphasis">
    <w:name w:val="Strong Emphasis"/>
    <w:qFormat/>
    <w:rPr>
      <w:b/>
      <w:b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2018-07-07T11:20:00Z</dcterms:created>
  <dc:creator>USER</dc:creator>
  <dc:description/>
  <cp:keywords/>
  <dc:language>en-US</dc:language>
  <cp:lastModifiedBy>Ralph Coffman</cp:lastModifiedBy>
  <dcterms:modified xsi:type="dcterms:W3CDTF">2018-07-07T11:20:00Z</dcterms:modified>
  <cp:revision>2</cp:revision>
  <dc:subject/>
  <dc:title>Asia-China-Qijia-Cong-</dc:title>
</cp:coreProperties>
</file>