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EA" w:rsidRDefault="003433B4">
      <w:bookmarkStart w:id="0" w:name="_GoBack"/>
      <w:r>
        <w:t>A</w:t>
      </w:r>
      <w:r w:rsidR="00767937">
        <w:t>4054</w:t>
      </w:r>
      <w:r>
        <w:t>-</w:t>
      </w:r>
      <w:r w:rsidR="00767937">
        <w:t>Asia-</w:t>
      </w:r>
      <w:r w:rsidR="00710D89">
        <w:t>China-</w:t>
      </w:r>
      <w:r w:rsidR="00767937">
        <w:t>Liangzhu</w:t>
      </w:r>
      <w:r w:rsidR="00710D89" w:rsidRPr="0032648E">
        <w:t>-Cyli</w:t>
      </w:r>
      <w:r w:rsidR="00767937">
        <w:t>ndrical Horse Hoof Hair Holder-</w:t>
      </w:r>
      <w:r w:rsidR="00710D89" w:rsidRPr="0032648E">
        <w:t>Jade</w:t>
      </w:r>
      <w:r w:rsidR="00767937">
        <w:rPr>
          <w:rStyle w:val="shorttext"/>
          <w:rFonts w:ascii="MS Mincho" w:eastAsia="DengXian" w:hAnsi="MS Mincho" w:cs="MS Mincho" w:hint="eastAsia"/>
          <w:lang w:eastAsia="zh-CN"/>
        </w:rPr>
        <w:t>-</w:t>
      </w:r>
      <w:r w:rsidR="00767937">
        <w:t>3400-2250 BCE</w:t>
      </w:r>
    </w:p>
    <w:bookmarkEnd w:id="0"/>
    <w:p w:rsidR="00976DEA" w:rsidRPr="00976DEA" w:rsidRDefault="00976DEA" w:rsidP="00976DEA">
      <w:pPr>
        <w:spacing w:after="0" w:line="240" w:lineRule="auto"/>
        <w:rPr>
          <w:rFonts w:eastAsia="Times New Roman"/>
        </w:rPr>
      </w:pPr>
      <w:r w:rsidRPr="00976DEA">
        <w:rPr>
          <w:rFonts w:eastAsia="Times New Roman"/>
          <w:bCs/>
          <w:noProof/>
        </w:rPr>
        <w:drawing>
          <wp:inline distT="0" distB="0" distL="0" distR="0">
            <wp:extent cx="1203305" cy="2156460"/>
            <wp:effectExtent l="0" t="0" r="0" b="0"/>
            <wp:docPr id="4" name="Picture 4"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633" cy="2162424"/>
                    </a:xfrm>
                    <a:prstGeom prst="rect">
                      <a:avLst/>
                    </a:prstGeom>
                    <a:noFill/>
                    <a:ln>
                      <a:noFill/>
                    </a:ln>
                  </pic:spPr>
                </pic:pic>
              </a:graphicData>
            </a:graphic>
          </wp:inline>
        </w:drawing>
      </w:r>
      <w:r w:rsidRPr="00976DEA">
        <w:rPr>
          <w:rFonts w:eastAsia="Times New Roman"/>
          <w:bCs/>
          <w:noProof/>
          <w:color w:val="0000FF"/>
        </w:rPr>
        <w:t xml:space="preserve"> </w:t>
      </w:r>
      <w:r w:rsidRPr="00976DEA">
        <w:rPr>
          <w:rFonts w:eastAsia="Times New Roman"/>
          <w:bCs/>
          <w:noProof/>
          <w:color w:val="0000FF"/>
        </w:rPr>
        <w:drawing>
          <wp:inline distT="0" distB="0" distL="0" distR="0" wp14:anchorId="0121B5FE" wp14:editId="054F7132">
            <wp:extent cx="1562100" cy="2206356"/>
            <wp:effectExtent l="0" t="0" r="0" b="3810"/>
            <wp:docPr id="2" name="Picture 2" descr="A rare and well-carved green jade ‘hoof-shaped‘ tubular ornament.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are and well-carved green jade ‘hoof-shaped‘ tubular ornament.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613" cy="2233917"/>
                    </a:xfrm>
                    <a:prstGeom prst="rect">
                      <a:avLst/>
                    </a:prstGeom>
                    <a:noFill/>
                    <a:ln>
                      <a:noFill/>
                    </a:ln>
                  </pic:spPr>
                </pic:pic>
              </a:graphicData>
            </a:graphic>
          </wp:inline>
        </w:drawing>
      </w:r>
      <w:r w:rsidRPr="00976DEA">
        <w:rPr>
          <w:rFonts w:eastAsia="Times New Roman"/>
          <w:bCs/>
          <w:noProof/>
          <w:color w:val="0000FF"/>
        </w:rPr>
        <w:drawing>
          <wp:inline distT="0" distB="0" distL="0" distR="0" wp14:anchorId="539D57FA" wp14:editId="5644FB05">
            <wp:extent cx="1287414" cy="1915795"/>
            <wp:effectExtent l="0" t="0" r="8255" b="8255"/>
            <wp:docPr id="1" name="Picture 1" descr="A rare and well-carved green jade ‘hoof-shaped‘ tubular ornament.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are and well-carved green jade ‘hoof-shaped‘ tubular ornament.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89" cy="1918288"/>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ind w:left="360"/>
        <w:rPr>
          <w:rFonts w:eastAsia="Times New Roman"/>
        </w:rPr>
      </w:pPr>
    </w:p>
    <w:p w:rsidR="00976DEA" w:rsidRDefault="00976DEA" w:rsidP="00976DEA">
      <w:pPr>
        <w:spacing w:before="100" w:beforeAutospacing="1" w:after="0" w:afterAutospacing="1" w:line="240" w:lineRule="auto"/>
        <w:rPr>
          <w:rStyle w:val="Strong"/>
        </w:rPr>
      </w:pPr>
      <w:r w:rsidRPr="00976DEA">
        <w:rPr>
          <w:rFonts w:eastAsia="Times New Roman"/>
          <w:bCs/>
          <w:noProof/>
          <w:color w:val="0000FF"/>
        </w:rPr>
        <w:drawing>
          <wp:inline distT="0" distB="0" distL="0" distR="0" wp14:anchorId="203E2DB5" wp14:editId="0C6C487B">
            <wp:extent cx="1219200" cy="2184946"/>
            <wp:effectExtent l="0" t="0" r="0" b="6350"/>
            <wp:docPr id="3" name="Picture 3" descr="A rare and well-carved green jade ‘hoof-shaped‘ tubular ornament.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are and well-carved green jade ‘hoof-shaped‘ tubular ornament. ">
                      <a:hlinkClick r:id="rId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433" cy="2194323"/>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rPr>
          <w:rStyle w:val="Strong"/>
          <w:rFonts w:eastAsia="Times New Roman"/>
          <w:b w:val="0"/>
        </w:rPr>
      </w:pPr>
      <w:r>
        <w:rPr>
          <w:rStyle w:val="Strong"/>
        </w:rPr>
        <w:t>Case no.: 5</w:t>
      </w:r>
    </w:p>
    <w:p w:rsidR="00976DEA" w:rsidRDefault="00976DEA" w:rsidP="00976DEA">
      <w:pPr>
        <w:rPr>
          <w:rStyle w:val="Strong"/>
        </w:rPr>
      </w:pPr>
      <w:r>
        <w:rPr>
          <w:rStyle w:val="Strong"/>
        </w:rPr>
        <w:t>Accession Number:</w:t>
      </w:r>
    </w:p>
    <w:p w:rsidR="00976DEA" w:rsidRDefault="00976DEA" w:rsidP="00976DEA">
      <w:pPr>
        <w:pStyle w:val="ListParagraph"/>
        <w:numPr>
          <w:ilvl w:val="0"/>
          <w:numId w:val="1"/>
        </w:numPr>
        <w:rPr>
          <w:rStyle w:val="Strong"/>
        </w:rPr>
      </w:pPr>
      <w:r>
        <w:rPr>
          <w:rStyle w:val="Strong"/>
        </w:rPr>
        <w:t xml:space="preserve">Formal Label: </w:t>
      </w:r>
    </w:p>
    <w:p w:rsidR="00976DEA" w:rsidRDefault="00976DEA" w:rsidP="00976DEA">
      <w:pPr>
        <w:pStyle w:val="ListParagraph"/>
        <w:numPr>
          <w:ilvl w:val="0"/>
          <w:numId w:val="1"/>
        </w:numPr>
        <w:rPr>
          <w:b/>
        </w:rPr>
      </w:pPr>
      <w:r w:rsidRPr="00976DEA">
        <w:rPr>
          <w:b/>
        </w:rPr>
        <w:t>Display Description:</w:t>
      </w:r>
    </w:p>
    <w:p w:rsidR="003433B4" w:rsidRPr="00976DEA" w:rsidRDefault="00A83651" w:rsidP="00976DEA">
      <w:pPr>
        <w:pStyle w:val="ListParagraph"/>
        <w:numPr>
          <w:ilvl w:val="0"/>
          <w:numId w:val="1"/>
        </w:numPr>
        <w:rPr>
          <w:b/>
        </w:rPr>
      </w:pPr>
      <w:r>
        <w:rPr>
          <w:b/>
        </w:rPr>
        <w:t>Li</w:t>
      </w:r>
      <w:r w:rsidR="003433B4">
        <w:rPr>
          <w:b/>
        </w:rPr>
        <w:t xml:space="preserve">angzhu </w:t>
      </w:r>
      <w:r w:rsidR="003433B4">
        <w:t>Tubular Hair Holders were placed in</w:t>
      </w:r>
      <w:r>
        <w:t xml:space="preserve"> </w:t>
      </w:r>
      <w:r w:rsidR="003433B4">
        <w:t>g</w:t>
      </w:r>
      <w:r>
        <w:t>ra</w:t>
      </w:r>
      <w:r w:rsidR="003433B4">
        <w:t xml:space="preserve">ves with the deceased in order to contain hair so that it was protected from the decaying body. They have been excavated from Liangzhu sites and have a proven archaeological record. They are mostly misunderstood by the art world since their expertise is not archaeological. </w:t>
      </w:r>
    </w:p>
    <w:p w:rsidR="00976DEA" w:rsidRPr="00976DEA" w:rsidRDefault="00976DEA" w:rsidP="00976DEA">
      <w:pPr>
        <w:pStyle w:val="ListParagraph"/>
        <w:numPr>
          <w:ilvl w:val="0"/>
          <w:numId w:val="1"/>
        </w:numPr>
        <w:rPr>
          <w:b/>
        </w:rPr>
      </w:pPr>
      <w:r w:rsidRPr="00976DEA">
        <w:rPr>
          <w:b/>
        </w:rPr>
        <w:t>LC Classification:</w:t>
      </w:r>
    </w:p>
    <w:p w:rsidR="00976DEA" w:rsidRDefault="00976DEA" w:rsidP="00976DEA">
      <w:pPr>
        <w:pStyle w:val="ListParagraph"/>
        <w:numPr>
          <w:ilvl w:val="0"/>
          <w:numId w:val="1"/>
        </w:numPr>
      </w:pPr>
      <w:r>
        <w:rPr>
          <w:rStyle w:val="Strong"/>
        </w:rPr>
        <w:t>Date or Time Horizon:</w:t>
      </w:r>
      <w:r>
        <w:t xml:space="preserve"> </w:t>
      </w:r>
    </w:p>
    <w:p w:rsidR="00976DEA" w:rsidRDefault="00976DEA" w:rsidP="00976DEA">
      <w:pPr>
        <w:pStyle w:val="ListParagraph"/>
        <w:numPr>
          <w:ilvl w:val="0"/>
          <w:numId w:val="1"/>
        </w:numPr>
      </w:pPr>
      <w:r>
        <w:rPr>
          <w:rStyle w:val="Strong"/>
        </w:rPr>
        <w:t>Geographical Area:</w:t>
      </w:r>
      <w:r>
        <w:t xml:space="preserve"> </w:t>
      </w:r>
    </w:p>
    <w:p w:rsidR="00976DEA" w:rsidRPr="00976DEA" w:rsidRDefault="00976DEA" w:rsidP="00976DEA">
      <w:pPr>
        <w:pStyle w:val="ListParagraph"/>
        <w:numPr>
          <w:ilvl w:val="0"/>
          <w:numId w:val="1"/>
        </w:numPr>
        <w:rPr>
          <w:b/>
        </w:rPr>
      </w:pPr>
      <w:r w:rsidRPr="00976DEA">
        <w:rPr>
          <w:b/>
        </w:rPr>
        <w:t xml:space="preserve">Map: </w:t>
      </w:r>
    </w:p>
    <w:p w:rsidR="00976DEA" w:rsidRPr="00976DEA" w:rsidRDefault="00976DEA" w:rsidP="00976DEA">
      <w:pPr>
        <w:pStyle w:val="ListParagraph"/>
        <w:numPr>
          <w:ilvl w:val="0"/>
          <w:numId w:val="1"/>
        </w:numPr>
        <w:rPr>
          <w:b/>
        </w:rPr>
      </w:pPr>
      <w:r w:rsidRPr="00976DEA">
        <w:rPr>
          <w:b/>
        </w:rPr>
        <w:t>GPS coordinates:</w:t>
      </w:r>
    </w:p>
    <w:p w:rsidR="00976DEA" w:rsidRDefault="00976DEA" w:rsidP="00976DEA">
      <w:pPr>
        <w:pStyle w:val="ListParagraph"/>
        <w:numPr>
          <w:ilvl w:val="0"/>
          <w:numId w:val="1"/>
        </w:numPr>
      </w:pPr>
      <w:r>
        <w:rPr>
          <w:rStyle w:val="Strong"/>
        </w:rPr>
        <w:t>Cultural Affiliation:</w:t>
      </w:r>
      <w:r>
        <w:t xml:space="preserve"> </w:t>
      </w:r>
    </w:p>
    <w:p w:rsidR="00976DEA" w:rsidRDefault="00976DEA" w:rsidP="00976DEA">
      <w:pPr>
        <w:pStyle w:val="ListParagraph"/>
        <w:numPr>
          <w:ilvl w:val="0"/>
          <w:numId w:val="1"/>
        </w:numPr>
      </w:pPr>
      <w:r>
        <w:rPr>
          <w:rStyle w:val="Strong"/>
        </w:rPr>
        <w:t>Media:</w:t>
      </w:r>
      <w:r>
        <w:t xml:space="preserve"> </w:t>
      </w:r>
    </w:p>
    <w:p w:rsidR="00976DEA" w:rsidRPr="00976DEA" w:rsidRDefault="00976DEA" w:rsidP="00976DEA">
      <w:pPr>
        <w:pStyle w:val="ListParagraph"/>
        <w:numPr>
          <w:ilvl w:val="0"/>
          <w:numId w:val="1"/>
        </w:numPr>
        <w:rPr>
          <w:b/>
        </w:rPr>
      </w:pPr>
      <w:r>
        <w:rPr>
          <w:rStyle w:val="Strong"/>
        </w:rPr>
        <w:t>Dimensions:</w:t>
      </w:r>
      <w:r>
        <w:t xml:space="preserve"> </w:t>
      </w:r>
    </w:p>
    <w:p w:rsidR="00976DEA" w:rsidRDefault="00976DEA" w:rsidP="00976DEA">
      <w:pPr>
        <w:pStyle w:val="ListParagraph"/>
        <w:numPr>
          <w:ilvl w:val="0"/>
          <w:numId w:val="1"/>
        </w:numPr>
        <w:rPr>
          <w:rStyle w:val="Strong"/>
        </w:rPr>
      </w:pPr>
      <w:r>
        <w:rPr>
          <w:rStyle w:val="Strong"/>
        </w:rPr>
        <w:t xml:space="preserve">Weight:  </w:t>
      </w:r>
    </w:p>
    <w:p w:rsidR="00976DEA" w:rsidRDefault="00976DEA" w:rsidP="00976DEA">
      <w:pPr>
        <w:pStyle w:val="ListParagraph"/>
        <w:numPr>
          <w:ilvl w:val="0"/>
          <w:numId w:val="1"/>
        </w:numPr>
        <w:rPr>
          <w:rStyle w:val="Strong"/>
        </w:rPr>
      </w:pPr>
      <w:r>
        <w:rPr>
          <w:rStyle w:val="Strong"/>
        </w:rPr>
        <w:t>Condition:</w:t>
      </w:r>
    </w:p>
    <w:p w:rsidR="00976DEA" w:rsidRPr="00976DEA" w:rsidRDefault="00976DEA" w:rsidP="00976DEA">
      <w:pPr>
        <w:pStyle w:val="ListParagraph"/>
        <w:numPr>
          <w:ilvl w:val="0"/>
          <w:numId w:val="1"/>
        </w:numPr>
        <w:rPr>
          <w:b/>
        </w:rPr>
      </w:pPr>
      <w:r>
        <w:rPr>
          <w:rStyle w:val="Strong"/>
        </w:rPr>
        <w:lastRenderedPageBreak/>
        <w:t>Provenance:</w:t>
      </w:r>
      <w:r>
        <w:t xml:space="preserve"> </w:t>
      </w:r>
    </w:p>
    <w:p w:rsidR="00976DEA" w:rsidRPr="00976DEA" w:rsidRDefault="00976DEA" w:rsidP="00976DEA">
      <w:pPr>
        <w:pStyle w:val="ListParagraph"/>
        <w:numPr>
          <w:ilvl w:val="0"/>
          <w:numId w:val="1"/>
        </w:numPr>
        <w:rPr>
          <w:b/>
        </w:rPr>
      </w:pPr>
      <w:r w:rsidRPr="00976DEA">
        <w:rPr>
          <w:b/>
        </w:rPr>
        <w:t>Discussion:</w:t>
      </w:r>
    </w:p>
    <w:p w:rsidR="00976DEA" w:rsidRDefault="00976DEA" w:rsidP="00976DEA">
      <w:pPr>
        <w:pStyle w:val="ListParagraph"/>
        <w:numPr>
          <w:ilvl w:val="0"/>
          <w:numId w:val="1"/>
        </w:numPr>
      </w:pPr>
      <w:r w:rsidRPr="00976DEA">
        <w:rPr>
          <w:b/>
        </w:rPr>
        <w:t>References:</w:t>
      </w:r>
    </w:p>
    <w:p w:rsidR="00976DEA" w:rsidRPr="00976DEA" w:rsidRDefault="00976DEA" w:rsidP="00976DEA">
      <w:pPr>
        <w:spacing w:before="100" w:beforeAutospacing="1" w:after="0" w:afterAutospacing="1" w:line="240" w:lineRule="auto"/>
        <w:rPr>
          <w:rFonts w:eastAsia="Times New Roman"/>
        </w:rPr>
      </w:pPr>
    </w:p>
    <w:p w:rsidR="00976DEA" w:rsidRPr="00976DEA" w:rsidRDefault="00976DEA" w:rsidP="00976DEA">
      <w:pPr>
        <w:spacing w:before="100" w:beforeAutospacing="1" w:after="100" w:afterAutospacing="1" w:line="240" w:lineRule="auto"/>
        <w:outlineLvl w:val="0"/>
        <w:rPr>
          <w:rFonts w:eastAsia="Times New Roman"/>
          <w:b/>
          <w:kern w:val="36"/>
          <w:sz w:val="48"/>
          <w:szCs w:val="48"/>
        </w:rPr>
      </w:pPr>
      <w:r w:rsidRPr="00976DEA">
        <w:rPr>
          <w:rFonts w:eastAsia="Times New Roman"/>
          <w:b/>
          <w:kern w:val="36"/>
          <w:sz w:val="48"/>
          <w:szCs w:val="48"/>
        </w:rPr>
        <w:t>A rare and well-carved green jade ‘hoof-</w:t>
      </w:r>
      <w:proofErr w:type="gramStart"/>
      <w:r w:rsidRPr="00976DEA">
        <w:rPr>
          <w:rFonts w:eastAsia="Times New Roman"/>
          <w:b/>
          <w:kern w:val="36"/>
          <w:sz w:val="48"/>
          <w:szCs w:val="48"/>
        </w:rPr>
        <w:t>shaped‘ tubular</w:t>
      </w:r>
      <w:proofErr w:type="gramEnd"/>
      <w:r w:rsidRPr="00976DEA">
        <w:rPr>
          <w:rFonts w:eastAsia="Times New Roman"/>
          <w:b/>
          <w:kern w:val="36"/>
          <w:sz w:val="48"/>
          <w:szCs w:val="48"/>
        </w:rPr>
        <w:t xml:space="preserve"> ornament.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China, Neolithic Period, Hongshan Culture, Niuheliang Phase, circa 3500–3000 B.C. </w:t>
      </w:r>
      <w:r w:rsidRPr="00976DEA">
        <w:rPr>
          <w:rFonts w:eastAsia="Times New Roman"/>
        </w:rPr>
        <w:br/>
      </w:r>
      <w:r w:rsidRPr="00976DEA">
        <w:rPr>
          <w:rFonts w:eastAsia="Times New Roman"/>
        </w:rPr>
        <w:br/>
        <w:t xml:space="preserve">The present object is accompanied by a written report (no. AA03-01573-01) by Dr. R. </w:t>
      </w:r>
      <w:proofErr w:type="spellStart"/>
      <w:r w:rsidRPr="00976DEA">
        <w:rPr>
          <w:rFonts w:eastAsia="Times New Roman"/>
        </w:rPr>
        <w:t>Neunteufel</w:t>
      </w:r>
      <w:proofErr w:type="spellEnd"/>
      <w:r w:rsidRPr="00976DEA">
        <w:rPr>
          <w:rFonts w:eastAsia="Times New Roman"/>
        </w:rPr>
        <w:t xml:space="preserve">, Antique Analytics GmbH, (11.4.2003). </w:t>
      </w:r>
      <w:proofErr w:type="spellStart"/>
      <w:r w:rsidRPr="00976DEA">
        <w:rPr>
          <w:rFonts w:eastAsia="Times New Roman"/>
        </w:rPr>
        <w:t>Neunteufel</w:t>
      </w:r>
      <w:proofErr w:type="spellEnd"/>
      <w:r w:rsidRPr="00976DEA">
        <w:rPr>
          <w:rFonts w:eastAsia="Times New Roman"/>
        </w:rPr>
        <w:t xml:space="preserve"> writes: ’The findings show that the </w:t>
      </w:r>
      <w:proofErr w:type="spellStart"/>
      <w:r w:rsidRPr="00976DEA">
        <w:rPr>
          <w:rFonts w:eastAsia="Times New Roman"/>
        </w:rPr>
        <w:t>analysed</w:t>
      </w:r>
      <w:proofErr w:type="spellEnd"/>
      <w:r w:rsidRPr="00976DEA">
        <w:rPr>
          <w:rFonts w:eastAsia="Times New Roman"/>
        </w:rPr>
        <w:t xml:space="preserve"> object consists of nephrite. Apart from a modern finishing polish no hints have been found for a processing of the original surface with modern, </w:t>
      </w:r>
      <w:proofErr w:type="spellStart"/>
      <w:r w:rsidRPr="00976DEA">
        <w:rPr>
          <w:rFonts w:eastAsia="Times New Roman"/>
        </w:rPr>
        <w:t>fastly</w:t>
      </w:r>
      <w:proofErr w:type="spellEnd"/>
      <w:r w:rsidRPr="00976DEA">
        <w:rPr>
          <w:rFonts w:eastAsia="Times New Roman"/>
        </w:rPr>
        <w:t xml:space="preserve"> rotating tools. The changes in the surface suggest that the object was exposed to weathering for a longer time.’</w:t>
      </w:r>
      <w:r w:rsidRPr="00976DEA">
        <w:rPr>
          <w:rFonts w:eastAsia="Times New Roman"/>
        </w:rPr>
        <w:br/>
        <w:t xml:space="preserve">We are grateful to Filippo </w:t>
      </w:r>
      <w:proofErr w:type="spellStart"/>
      <w:r w:rsidRPr="00976DEA">
        <w:rPr>
          <w:rFonts w:eastAsia="Times New Roman"/>
        </w:rPr>
        <w:t>Salviati</w:t>
      </w:r>
      <w:proofErr w:type="spellEnd"/>
      <w:r w:rsidRPr="00976DEA">
        <w:rPr>
          <w:rFonts w:eastAsia="Times New Roman"/>
        </w:rPr>
        <w:t>, Professor for Chinese Art and Archaeology, Italian Institute of Oriental Studies, ‘Sapienza’ University, Rome, for classifying, and dating the object following first-hand examination.</w:t>
      </w:r>
      <w:r w:rsidRPr="00976DEA">
        <w:rPr>
          <w:rFonts w:eastAsia="Times New Roman"/>
        </w:rPr>
        <w:br/>
      </w:r>
      <w:r w:rsidRPr="00976DEA">
        <w:rPr>
          <w:rFonts w:eastAsia="Times New Roman"/>
        </w:rPr>
        <w:br/>
        <w:t xml:space="preserve">This peculiar ornament in jade is one of the most representative types of jades discovered in elite burials of the late phase of the Hongshan culture, which flourished in Neolithic China in the period between ca.4500 and 3000 BC. The Hongshan culture, which derives its name from one of the type-sites where it was first identified and excavated in the early 20th century, developed in Northeast China, with sites distributed in western Liaoning province and southeastern Inner Mongolia. It was one of the Neolithic cultures which </w:t>
      </w:r>
      <w:proofErr w:type="spellStart"/>
      <w:r w:rsidRPr="00976DEA">
        <w:rPr>
          <w:rFonts w:eastAsia="Times New Roman"/>
        </w:rPr>
        <w:t>favoured</w:t>
      </w:r>
      <w:proofErr w:type="spellEnd"/>
      <w:r w:rsidRPr="00976DEA">
        <w:rPr>
          <w:rFonts w:eastAsia="Times New Roman"/>
        </w:rPr>
        <w:t xml:space="preserve"> the use of jade as a symbolic material suited to convey the authority and status of individuals and it is the first complex society to emerge in Northeast China in the pre-historic period. </w:t>
      </w:r>
      <w:r w:rsidRPr="00976DEA">
        <w:rPr>
          <w:rFonts w:eastAsia="Times New Roman"/>
        </w:rPr>
        <w:br/>
      </w:r>
      <w:r w:rsidRPr="00976DEA">
        <w:rPr>
          <w:rFonts w:eastAsia="Times New Roman"/>
        </w:rPr>
        <w:br/>
        <w:t xml:space="preserve">Some of the best known and more extensively excavated archaeological sites belong to the late phase of this culture, dated to ca.3650-3150 BC, and include a number of ceremonial </w:t>
      </w:r>
      <w:proofErr w:type="spellStart"/>
      <w:r w:rsidRPr="00976DEA">
        <w:rPr>
          <w:rFonts w:eastAsia="Times New Roman"/>
        </w:rPr>
        <w:t>centres</w:t>
      </w:r>
      <w:proofErr w:type="spellEnd"/>
      <w:r w:rsidRPr="00976DEA">
        <w:rPr>
          <w:rFonts w:eastAsia="Times New Roman"/>
        </w:rPr>
        <w:t xml:space="preserve"> characterized by a complex architecture and an ample use of stones, including earthen altars, raised stone platforms, semi-subterranean buildings and elite burials made with stone slabs. One of the most extensively investigated of such ceremonial </w:t>
      </w:r>
      <w:proofErr w:type="spellStart"/>
      <w:r w:rsidRPr="00976DEA">
        <w:rPr>
          <w:rFonts w:eastAsia="Times New Roman"/>
        </w:rPr>
        <w:t>centres</w:t>
      </w:r>
      <w:proofErr w:type="spellEnd"/>
      <w:r w:rsidRPr="00976DEA">
        <w:rPr>
          <w:rFonts w:eastAsia="Times New Roman"/>
        </w:rPr>
        <w:t xml:space="preserve"> is located at Niuheliang, </w:t>
      </w:r>
      <w:proofErr w:type="spellStart"/>
      <w:r w:rsidRPr="00976DEA">
        <w:rPr>
          <w:rFonts w:eastAsia="Times New Roman"/>
        </w:rPr>
        <w:t>Jianping</w:t>
      </w:r>
      <w:proofErr w:type="spellEnd"/>
      <w:r w:rsidRPr="00976DEA">
        <w:rPr>
          <w:rFonts w:eastAsia="Times New Roman"/>
        </w:rPr>
        <w:t xml:space="preserve"> county, Liaoning Province. </w:t>
      </w:r>
      <w:r w:rsidRPr="00976DEA">
        <w:rPr>
          <w:rFonts w:eastAsia="Times New Roman"/>
        </w:rPr>
        <w:br/>
        <w:t xml:space="preserve">It is also known as </w:t>
      </w:r>
      <w:proofErr w:type="spellStart"/>
      <w:r w:rsidRPr="00976DEA">
        <w:rPr>
          <w:rFonts w:eastAsia="Times New Roman"/>
        </w:rPr>
        <w:t>Nüshenmiao</w:t>
      </w:r>
      <w:proofErr w:type="spellEnd"/>
      <w:r w:rsidRPr="00976DEA">
        <w:rPr>
          <w:rFonts w:eastAsia="Times New Roman"/>
        </w:rPr>
        <w:t xml:space="preserve"> </w:t>
      </w:r>
      <w:proofErr w:type="spellStart"/>
      <w:r w:rsidRPr="00976DEA">
        <w:rPr>
          <w:rFonts w:ascii="MS Mincho" w:eastAsia="MS Mincho" w:hAnsi="MS Mincho" w:cs="MS Mincho" w:hint="eastAsia"/>
        </w:rPr>
        <w:t>女神廟</w:t>
      </w:r>
      <w:proofErr w:type="spellEnd"/>
      <w:r w:rsidRPr="00976DEA">
        <w:rPr>
          <w:rFonts w:eastAsia="Times New Roman"/>
        </w:rPr>
        <w:t xml:space="preserve"> or ‘Female spirit temple’ since archaeologists have uncovered structures with remains of life-size figures in clay, including parts of a female sculpture with a large head and soft stones used as insets for the eyes. Niuheliang must have been a key ritualistic site and </w:t>
      </w:r>
      <w:proofErr w:type="spellStart"/>
      <w:r w:rsidRPr="00976DEA">
        <w:rPr>
          <w:rFonts w:eastAsia="Times New Roman"/>
        </w:rPr>
        <w:t>centre</w:t>
      </w:r>
      <w:proofErr w:type="spellEnd"/>
      <w:r w:rsidRPr="00976DEA">
        <w:rPr>
          <w:rFonts w:eastAsia="Times New Roman"/>
        </w:rPr>
        <w:t xml:space="preserve"> where important individuals of the Hongshan culture were buried, over a period of time, and in tombs located in the vicinity of the architectural structures. The graves, belonging to the cist-tomb </w:t>
      </w:r>
      <w:proofErr w:type="spellStart"/>
      <w:r w:rsidRPr="00976DEA">
        <w:rPr>
          <w:rFonts w:eastAsia="Times New Roman"/>
        </w:rPr>
        <w:t>tipe</w:t>
      </w:r>
      <w:proofErr w:type="spellEnd"/>
      <w:r w:rsidRPr="00976DEA">
        <w:rPr>
          <w:rFonts w:eastAsia="Times New Roman"/>
        </w:rPr>
        <w:t xml:space="preserve">, are paved and lined with stone slabs, so that the 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Niuheliang. </w:t>
      </w:r>
      <w:r w:rsidRPr="00976DEA">
        <w:rPr>
          <w:rFonts w:eastAsia="Times New Roman"/>
        </w:rPr>
        <w:br/>
      </w:r>
      <w:r w:rsidRPr="00976DEA">
        <w:rPr>
          <w:rFonts w:eastAsia="Times New Roman"/>
        </w:rPr>
        <w:br/>
        <w:t xml:space="preserve">This type of jade is also labelled </w:t>
      </w:r>
      <w:proofErr w:type="spellStart"/>
      <w:r w:rsidRPr="00976DEA">
        <w:rPr>
          <w:rFonts w:eastAsia="Times New Roman"/>
        </w:rPr>
        <w:t>mati</w:t>
      </w:r>
      <w:proofErr w:type="spellEnd"/>
      <w:r w:rsidRPr="00976DEA">
        <w:rPr>
          <w:rFonts w:eastAsia="Times New Roman"/>
        </w:rPr>
        <w:t xml:space="preserve"> </w:t>
      </w:r>
      <w:proofErr w:type="spellStart"/>
      <w:r w:rsidRPr="00976DEA">
        <w:rPr>
          <w:rFonts w:ascii="PMingLiU" w:eastAsia="PMingLiU" w:hAnsi="PMingLiU" w:cs="PMingLiU" w:hint="eastAsia"/>
        </w:rPr>
        <w:t>马蹄</w:t>
      </w:r>
      <w:proofErr w:type="spellEnd"/>
      <w:r w:rsidRPr="00976DEA">
        <w:rPr>
          <w:rFonts w:eastAsia="Times New Roman"/>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the rear one, which is higher and gently slanted towards the top. In this Lot the front side flattens towards the top opening, looking almost straight when the object is looked at frontally, while the back is gently curved and with a rounded outline. The walls of </w:t>
      </w:r>
      <w:r w:rsidRPr="00976DEA">
        <w:rPr>
          <w:rFonts w:eastAsia="Times New Roman"/>
        </w:rPr>
        <w:lastRenderedPageBreak/>
        <w:t xml:space="preserve">the jade are very thin, allowing the light to filter through the stone and enhance the natural texture of the nephrite which is of the </w:t>
      </w:r>
      <w:proofErr w:type="spellStart"/>
      <w:r w:rsidRPr="00976DEA">
        <w:rPr>
          <w:rFonts w:eastAsia="Times New Roman"/>
        </w:rPr>
        <w:t>actinolite</w:t>
      </w:r>
      <w:proofErr w:type="spellEnd"/>
      <w:r w:rsidRPr="00976DEA">
        <w:rPr>
          <w:rFonts w:eastAsia="Times New Roman"/>
        </w:rPr>
        <w:t xml:space="preserve"> type: this mineral is characterized by a high percentage of iron content, up to 50%, which is responsible not only for the green </w:t>
      </w:r>
      <w:proofErr w:type="spellStart"/>
      <w:r w:rsidRPr="00976DEA">
        <w:rPr>
          <w:rFonts w:eastAsia="Times New Roman"/>
        </w:rPr>
        <w:t>colour</w:t>
      </w:r>
      <w:proofErr w:type="spellEnd"/>
      <w:r w:rsidRPr="00976DEA">
        <w:rPr>
          <w:rFonts w:eastAsia="Times New Roman"/>
        </w:rPr>
        <w:t xml:space="preserve">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Niuheliang, a similar jade has been found placed below the skull of the deceased (Yang </w:t>
      </w:r>
      <w:proofErr w:type="spellStart"/>
      <w:r w:rsidRPr="00976DEA">
        <w:rPr>
          <w:rFonts w:eastAsia="Times New Roman"/>
        </w:rPr>
        <w:t>Xiaoneng</w:t>
      </w:r>
      <w:proofErr w:type="spellEnd"/>
      <w:r w:rsidRPr="00976DEA">
        <w:rPr>
          <w:rFonts w:eastAsia="Times New Roman"/>
        </w:rPr>
        <w:t xml:space="preserve">, photograph p. 80). 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Niuheliang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p.4).</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COMPARABLE EXAMPLES:</w:t>
      </w:r>
      <w:r w:rsidRPr="00976DEA">
        <w:rPr>
          <w:rFonts w:eastAsia="Times New Roman"/>
        </w:rPr>
        <w:br/>
      </w:r>
      <w:r w:rsidRPr="00976DEA">
        <w:rPr>
          <w:rFonts w:eastAsia="Times New Roman"/>
        </w:rPr>
        <w:br/>
      </w:r>
      <w:r w:rsidRPr="00976DEA">
        <w:rPr>
          <w:rFonts w:eastAsia="Times New Roman"/>
          <w:b/>
        </w:rPr>
        <w:t>a) Excavations:</w:t>
      </w:r>
      <w:r w:rsidRPr="00976DEA">
        <w:rPr>
          <w:rFonts w:eastAsia="Times New Roman"/>
        </w:rPr>
        <w:br/>
        <w:t>All comparable examples from excavations are from the Niuheliang archaeological area, where the most important sites are designated ‘localities’ and consist of stone-covered burial mounds containing stone tombs with jades as the primary, if not exclusive, burial goods:</w:t>
      </w:r>
      <w:r w:rsidRPr="00976DEA">
        <w:rPr>
          <w:rFonts w:eastAsia="Times New Roman"/>
        </w:rPr>
        <w:br/>
        <w:t xml:space="preserve">- a jade tube with similar flattened front side, cutting angle and material, measuring 11.5 cm in height, now in the Liaoning Provincial Museum, is illustrated in </w:t>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Pl. 3 and described as unearthed at Niuheliang; </w:t>
      </w:r>
      <w:r w:rsidRPr="00976DEA">
        <w:rPr>
          <w:rFonts w:eastAsia="Times New Roman"/>
        </w:rPr>
        <w:br/>
        <w:t xml:space="preserve">- another tubular ornament with a similar outline, 13.6 cm in height has been unearthed from tomb 25,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p.62;</w:t>
      </w:r>
      <w:r w:rsidRPr="00976DEA">
        <w:rPr>
          <w:rFonts w:eastAsia="Times New Roman"/>
        </w:rPr>
        <w:br/>
        <w:t xml:space="preserve">- a third jade ornament 18.6 cm in height, with a slightly curved back side, internal grooves and two small holes pierced near the bottom rim has been discovered in tomb 4,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pp.60-61; it is also reproduced in Yang </w:t>
      </w:r>
      <w:proofErr w:type="spellStart"/>
      <w:r w:rsidRPr="00976DEA">
        <w:rPr>
          <w:rFonts w:eastAsia="Times New Roman"/>
        </w:rPr>
        <w:t>Xiaoneng</w:t>
      </w:r>
      <w:proofErr w:type="spellEnd"/>
      <w:r w:rsidRPr="00976DEA">
        <w:rPr>
          <w:rFonts w:eastAsia="Times New Roman"/>
        </w:rPr>
        <w:t>, cat. No. 11, which has also a rear view of the object;</w:t>
      </w:r>
      <w:r w:rsidRPr="00976DEA">
        <w:rPr>
          <w:rFonts w:eastAsia="Times New Roman"/>
        </w:rPr>
        <w:br/>
        <w:t xml:space="preserve">- two further comparable examples from Niuheliang, measuring 17.2 cm and 12.7 cm in height come from tomb 2 and 9, mound 4, locality 2 and are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pp.59 and 63 respectively.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b) Western public collections:</w:t>
      </w:r>
      <w:r w:rsidRPr="00976DEA">
        <w:rPr>
          <w:rFonts w:eastAsia="Times New Roman"/>
        </w:rPr>
        <w:br/>
        <w:t xml:space="preserve">- two similar tubes from the Arthur M. </w:t>
      </w:r>
      <w:proofErr w:type="spellStart"/>
      <w:r w:rsidRPr="00976DEA">
        <w:rPr>
          <w:rFonts w:eastAsia="Times New Roman"/>
        </w:rPr>
        <w:t>Sackler</w:t>
      </w:r>
      <w:proofErr w:type="spellEnd"/>
      <w:r w:rsidRPr="00976DEA">
        <w:rPr>
          <w:rFonts w:eastAsia="Times New Roman"/>
        </w:rPr>
        <w:t xml:space="preserve"> collection are in the Freer/</w:t>
      </w:r>
      <w:proofErr w:type="spellStart"/>
      <w:r w:rsidRPr="00976DEA">
        <w:rPr>
          <w:rFonts w:eastAsia="Times New Roman"/>
        </w:rPr>
        <w:t>Sackler</w:t>
      </w:r>
      <w:proofErr w:type="spellEnd"/>
      <w:r w:rsidRPr="00976DEA">
        <w:rPr>
          <w:rFonts w:eastAsia="Times New Roman"/>
        </w:rPr>
        <w:t xml:space="preserve"> Galleries, Washington, D.C., object numbers S1987.842; and S1987.626;</w:t>
      </w:r>
      <w:r w:rsidRPr="00976DEA">
        <w:rPr>
          <w:rFonts w:eastAsia="Times New Roman"/>
        </w:rPr>
        <w:br/>
        <w:t xml:space="preserve">- a tube from the Avery </w:t>
      </w:r>
      <w:proofErr w:type="spellStart"/>
      <w:r w:rsidRPr="00976DEA">
        <w:rPr>
          <w:rFonts w:eastAsia="Times New Roman"/>
        </w:rPr>
        <w:t>Brundage</w:t>
      </w:r>
      <w:proofErr w:type="spellEnd"/>
      <w:r w:rsidRPr="00976DEA">
        <w:rPr>
          <w:rFonts w:eastAsia="Times New Roman"/>
        </w:rPr>
        <w:t xml:space="preserve"> collection and now in the Asian Art Museum, San Francisco, acc. no. B60J226;</w:t>
      </w:r>
      <w:r w:rsidRPr="00976DEA">
        <w:rPr>
          <w:rFonts w:eastAsia="Times New Roman"/>
        </w:rPr>
        <w:br/>
        <w:t xml:space="preserve">- a jade tube from the Grenville L. Winthrop collection, Fogg Museum, is in the Harvard Art Museum, </w:t>
      </w:r>
      <w:r w:rsidRPr="00976DEA">
        <w:rPr>
          <w:rFonts w:eastAsia="Times New Roman"/>
        </w:rPr>
        <w:lastRenderedPageBreak/>
        <w:t>object number 1943.50.628;</w:t>
      </w:r>
      <w:r w:rsidRPr="00976DEA">
        <w:rPr>
          <w:rFonts w:eastAsia="Times New Roman"/>
        </w:rPr>
        <w:br/>
        <w:t xml:space="preserve">- an additional ornament from the Joseph </w:t>
      </w:r>
      <w:proofErr w:type="spellStart"/>
      <w:r w:rsidRPr="00976DEA">
        <w:rPr>
          <w:rFonts w:eastAsia="Times New Roman"/>
        </w:rPr>
        <w:t>Hotung</w:t>
      </w:r>
      <w:proofErr w:type="spellEnd"/>
      <w:r w:rsidRPr="00976DEA">
        <w:rPr>
          <w:rFonts w:eastAsia="Times New Roman"/>
        </w:rPr>
        <w:t xml:space="preserve"> collection and now on display in the ‘Jade gallery’ at the British Museum, London, is illustrated in Rawson, no. 1:2;</w:t>
      </w:r>
      <w:r w:rsidRPr="00976DEA">
        <w:rPr>
          <w:rFonts w:eastAsia="Times New Roman"/>
        </w:rPr>
        <w:br/>
      </w:r>
      <w:r w:rsidRPr="00976DEA">
        <w:rPr>
          <w:rFonts w:eastAsia="Times New Roman"/>
        </w:rPr>
        <w:br/>
      </w:r>
      <w:r w:rsidRPr="00976DEA">
        <w:rPr>
          <w:rFonts w:eastAsia="Times New Roman"/>
          <w:b/>
        </w:rPr>
        <w:t>References:</w:t>
      </w:r>
      <w:r w:rsidRPr="00976DEA">
        <w:rPr>
          <w:rFonts w:eastAsia="Times New Roman"/>
        </w:rPr>
        <w:br/>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w:t>
      </w:r>
      <w:proofErr w:type="spellStart"/>
      <w:r w:rsidRPr="00976DEA">
        <w:rPr>
          <w:rFonts w:ascii="MS Mincho" w:eastAsia="MS Mincho" w:hAnsi="MS Mincho" w:cs="MS Mincho" w:hint="eastAsia"/>
        </w:rPr>
        <w:t>牟永抗</w:t>
      </w:r>
      <w:proofErr w:type="spellEnd"/>
      <w:r w:rsidRPr="00976DEA">
        <w:rPr>
          <w:rFonts w:eastAsia="Times New Roman"/>
        </w:rPr>
        <w:t xml:space="preserve">, </w:t>
      </w:r>
      <w:proofErr w:type="spellStart"/>
      <w:r w:rsidRPr="00976DEA">
        <w:rPr>
          <w:rFonts w:eastAsia="Times New Roman"/>
        </w:rPr>
        <w:t>Zhongguo</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quanji</w:t>
      </w:r>
      <w:proofErr w:type="spellEnd"/>
      <w:r w:rsidRPr="00976DEA">
        <w:rPr>
          <w:rFonts w:eastAsia="Times New Roman"/>
        </w:rPr>
        <w:t xml:space="preserve"> - 1 </w:t>
      </w:r>
      <w:proofErr w:type="spellStart"/>
      <w:r w:rsidRPr="00976DEA">
        <w:rPr>
          <w:rFonts w:eastAsia="Times New Roman"/>
        </w:rPr>
        <w:t>Yuanshi</w:t>
      </w:r>
      <w:proofErr w:type="spellEnd"/>
      <w:r w:rsidRPr="00976DEA">
        <w:rPr>
          <w:rFonts w:eastAsia="Times New Roman"/>
        </w:rPr>
        <w:t xml:space="preserve"> </w:t>
      </w:r>
      <w:proofErr w:type="spellStart"/>
      <w:r w:rsidRPr="00976DEA">
        <w:rPr>
          <w:rFonts w:eastAsia="Times New Roman"/>
        </w:rPr>
        <w:t>shehui</w:t>
      </w:r>
      <w:proofErr w:type="spellEnd"/>
      <w:r w:rsidRPr="00976DEA">
        <w:rPr>
          <w:rFonts w:eastAsia="Times New Roman"/>
        </w:rPr>
        <w:t xml:space="preserve"> </w:t>
      </w:r>
      <w:proofErr w:type="spellStart"/>
      <w:r w:rsidRPr="00976DEA">
        <w:rPr>
          <w:rFonts w:ascii="MS Mincho" w:eastAsia="MS Mincho" w:hAnsi="MS Mincho" w:cs="MS Mincho" w:hint="eastAsia"/>
        </w:rPr>
        <w:t>中國玉器全集</w:t>
      </w:r>
      <w:proofErr w:type="spellEnd"/>
      <w:r w:rsidRPr="00976DEA">
        <w:rPr>
          <w:rFonts w:eastAsia="Times New Roman"/>
        </w:rPr>
        <w:t>–1:</w:t>
      </w:r>
      <w:r w:rsidRPr="00976DEA">
        <w:rPr>
          <w:rFonts w:ascii="MS Mincho" w:eastAsia="MS Mincho" w:hAnsi="MS Mincho" w:cs="MS Mincho" w:hint="eastAsia"/>
        </w:rPr>
        <w:t>原始社會</w:t>
      </w:r>
      <w:r w:rsidRPr="00976DEA">
        <w:rPr>
          <w:rFonts w:eastAsia="Times New Roman"/>
        </w:rPr>
        <w:t xml:space="preserve"> (Chinese Jades: Vol.1, Early Societies), Hebei </w:t>
      </w:r>
      <w:proofErr w:type="spellStart"/>
      <w:r w:rsidRPr="00976DEA">
        <w:rPr>
          <w:rFonts w:eastAsia="Times New Roman"/>
        </w:rPr>
        <w:t>Meishu</w:t>
      </w:r>
      <w:proofErr w:type="spellEnd"/>
      <w:r w:rsidRPr="00976DEA">
        <w:rPr>
          <w:rFonts w:eastAsia="Times New Roman"/>
        </w:rPr>
        <w:t xml:space="preserve"> </w:t>
      </w:r>
      <w:proofErr w:type="spellStart"/>
      <w:r w:rsidRPr="00976DEA">
        <w:rPr>
          <w:rFonts w:eastAsia="Times New Roman"/>
        </w:rPr>
        <w:t>Chubanshe</w:t>
      </w:r>
      <w:proofErr w:type="spellEnd"/>
      <w:r w:rsidRPr="00976DEA">
        <w:rPr>
          <w:rFonts w:eastAsia="Times New Roman"/>
        </w:rPr>
        <w:t>, Shijiazhuang 1993</w:t>
      </w:r>
      <w:r w:rsidRPr="00976DEA">
        <w:rPr>
          <w:rFonts w:eastAsia="Times New Roman"/>
        </w:rPr>
        <w:br/>
      </w:r>
      <w:r w:rsidRPr="00976DEA">
        <w:rPr>
          <w:rFonts w:eastAsia="Times New Roman"/>
        </w:rPr>
        <w:br/>
        <w:t>Rawson, Jessica, Chinese Jade from the Neolithic to the Qing, British Museum Publications, London 1995 (reprinted by Art Media Resources, Chicago in 2002)</w:t>
      </w:r>
      <w:r w:rsidRPr="00976DEA">
        <w:rPr>
          <w:rFonts w:eastAsia="Times New Roman"/>
        </w:rPr>
        <w:br/>
      </w:r>
      <w:r w:rsidRPr="00976DEA">
        <w:rPr>
          <w:rFonts w:eastAsia="Times New Roman"/>
        </w:rPr>
        <w:br/>
        <w:t xml:space="preserve">Yang </w:t>
      </w:r>
      <w:proofErr w:type="spellStart"/>
      <w:r w:rsidRPr="00976DEA">
        <w:rPr>
          <w:rFonts w:eastAsia="Times New Roman"/>
        </w:rPr>
        <w:t>Xiaoneng</w:t>
      </w:r>
      <w:proofErr w:type="spellEnd"/>
      <w:r w:rsidRPr="00976DEA">
        <w:rPr>
          <w:rFonts w:eastAsia="Times New Roman"/>
        </w:rPr>
        <w:t xml:space="preserve"> (ed.), The Golden Age of Chinese Archaeology. Celebrated Discoveries from The People`s Republic of China, New Haven and London, Yale University Press, 1999</w:t>
      </w:r>
      <w:r w:rsidRPr="00976DEA">
        <w:rPr>
          <w:rFonts w:eastAsia="Times New Roman"/>
        </w:rPr>
        <w:br/>
      </w:r>
      <w:r w:rsidRPr="00976DEA">
        <w:rPr>
          <w:rFonts w:eastAsia="Times New Roman"/>
        </w:rPr>
        <w:br/>
        <w:t xml:space="preserve">Zhang </w:t>
      </w:r>
      <w:proofErr w:type="spellStart"/>
      <w:r w:rsidRPr="00976DEA">
        <w:rPr>
          <w:rFonts w:eastAsia="Times New Roman"/>
        </w:rPr>
        <w:t>Shuwei</w:t>
      </w:r>
      <w:proofErr w:type="spellEnd"/>
      <w:r w:rsidRPr="00976DEA">
        <w:rPr>
          <w:rFonts w:eastAsia="Times New Roman"/>
        </w:rPr>
        <w:t xml:space="preserve"> </w:t>
      </w:r>
      <w:proofErr w:type="spellStart"/>
      <w:r w:rsidRPr="00976DEA">
        <w:rPr>
          <w:rFonts w:ascii="MS Mincho" w:eastAsia="MS Mincho" w:hAnsi="MS Mincho" w:cs="MS Mincho" w:hint="eastAsia"/>
        </w:rPr>
        <w:t>張樹偉</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w:t>
      </w:r>
      <w:proofErr w:type="spellStart"/>
      <w:r w:rsidRPr="00976DEA">
        <w:rPr>
          <w:rFonts w:ascii="MS Mincho" w:eastAsia="MS Mincho" w:hAnsi="MS Mincho" w:cs="MS Mincho" w:hint="eastAsia"/>
        </w:rPr>
        <w:t>李向東</w:t>
      </w:r>
      <w:proofErr w:type="spellEnd"/>
      <w:r w:rsidRPr="00976DEA">
        <w:rPr>
          <w:rFonts w:eastAsia="Times New Roman"/>
        </w:rPr>
        <w:t xml:space="preserve"> (eds.), </w:t>
      </w:r>
      <w:proofErr w:type="spellStart"/>
      <w:r w:rsidRPr="00976DEA">
        <w:rPr>
          <w:rFonts w:eastAsia="Times New Roman"/>
        </w:rPr>
        <w:t>Shikong</w:t>
      </w:r>
      <w:proofErr w:type="spellEnd"/>
      <w:r w:rsidRPr="00976DEA">
        <w:rPr>
          <w:rFonts w:eastAsia="Times New Roman"/>
        </w:rPr>
        <w:t xml:space="preserve"> </w:t>
      </w:r>
      <w:proofErr w:type="spellStart"/>
      <w:r w:rsidRPr="00976DEA">
        <w:rPr>
          <w:rFonts w:eastAsia="Times New Roman"/>
        </w:rPr>
        <w:t>chuanyue</w:t>
      </w:r>
      <w:proofErr w:type="spellEnd"/>
      <w:r w:rsidRPr="00976DEA">
        <w:rPr>
          <w:rFonts w:eastAsia="Times New Roman"/>
        </w:rPr>
        <w:t xml:space="preserve">: Hongshan </w:t>
      </w:r>
      <w:proofErr w:type="spellStart"/>
      <w:r w:rsidRPr="00976DEA">
        <w:rPr>
          <w:rFonts w:eastAsia="Times New Roman"/>
        </w:rPr>
        <w:t>wenhua</w:t>
      </w:r>
      <w:proofErr w:type="spellEnd"/>
      <w:r w:rsidRPr="00976DEA">
        <w:rPr>
          <w:rFonts w:eastAsia="Times New Roman"/>
        </w:rPr>
        <w:t xml:space="preserve"> </w:t>
      </w:r>
      <w:proofErr w:type="spellStart"/>
      <w:r w:rsidRPr="00976DEA">
        <w:rPr>
          <w:rFonts w:eastAsia="Times New Roman"/>
        </w:rPr>
        <w:t>chutu</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jing</w:t>
      </w:r>
      <w:proofErr w:type="spellEnd"/>
      <w:r w:rsidRPr="00976DEA">
        <w:rPr>
          <w:rFonts w:eastAsia="Times New Roman"/>
        </w:rPr>
        <w:t xml:space="preserve"> pin </w:t>
      </w:r>
      <w:proofErr w:type="spellStart"/>
      <w:r w:rsidRPr="00976DEA">
        <w:rPr>
          <w:rFonts w:eastAsia="Times New Roman"/>
        </w:rPr>
        <w:t>zhan</w:t>
      </w:r>
      <w:proofErr w:type="spellEnd"/>
      <w:r w:rsidRPr="00976DEA">
        <w:rPr>
          <w:rFonts w:eastAsia="Times New Roman"/>
        </w:rPr>
        <w:t xml:space="preserve"> </w:t>
      </w:r>
      <w:proofErr w:type="spellStart"/>
      <w:r w:rsidRPr="00976DEA">
        <w:rPr>
          <w:rFonts w:ascii="MS Mincho" w:eastAsia="MS Mincho" w:hAnsi="MS Mincho" w:cs="MS Mincho" w:hint="eastAsia"/>
        </w:rPr>
        <w:t>時空穿越</w:t>
      </w:r>
      <w:r w:rsidRPr="00976DEA">
        <w:rPr>
          <w:rFonts w:eastAsia="Times New Roman"/>
        </w:rPr>
        <w:t>:</w:t>
      </w:r>
      <w:r w:rsidRPr="00976DEA">
        <w:rPr>
          <w:rFonts w:ascii="PMingLiU" w:eastAsia="PMingLiU" w:hAnsi="PMingLiU" w:cs="PMingLiU" w:hint="eastAsia"/>
        </w:rPr>
        <w:t>红山文化玉器精品展</w:t>
      </w:r>
      <w:proofErr w:type="spellEnd"/>
      <w:r w:rsidRPr="00976DEA">
        <w:rPr>
          <w:rFonts w:eastAsia="Times New Roman"/>
        </w:rPr>
        <w:t xml:space="preserve"> (Through time and space: Unearthed jade articles of the Hongshan Culture), Beijing 2012</w:t>
      </w:r>
      <w:r w:rsidRPr="00976DEA">
        <w:rPr>
          <w:rFonts w:eastAsia="Times New Roman"/>
        </w:rPr>
        <w:br/>
      </w:r>
      <w:r w:rsidRPr="00976DEA">
        <w:rPr>
          <w:rFonts w:eastAsia="Times New Roman"/>
        </w:rPr>
        <w:br/>
      </w:r>
      <w:r w:rsidRPr="00976DEA">
        <w:rPr>
          <w:rFonts w:eastAsia="Times New Roman"/>
          <w:b/>
        </w:rPr>
        <w:t>Internet links:</w:t>
      </w:r>
      <w:r w:rsidRPr="00976DEA">
        <w:rPr>
          <w:rFonts w:eastAsia="Times New Roman"/>
        </w:rPr>
        <w:br/>
      </w:r>
      <w:r w:rsidRPr="00976DEA">
        <w:rPr>
          <w:rFonts w:eastAsia="Times New Roman"/>
        </w:rPr>
        <w:br/>
      </w:r>
      <w:proofErr w:type="spellStart"/>
      <w:r w:rsidRPr="00976DEA">
        <w:rPr>
          <w:rFonts w:eastAsia="Times New Roman"/>
        </w:rPr>
        <w:t>Sackler</w:t>
      </w:r>
      <w:proofErr w:type="spellEnd"/>
      <w:r w:rsidRPr="00976DEA">
        <w:rPr>
          <w:rFonts w:eastAsia="Times New Roman"/>
        </w:rPr>
        <w:t xml:space="preserve"> examples:</w:t>
      </w:r>
      <w:r w:rsidRPr="00976DEA">
        <w:rPr>
          <w:rFonts w:eastAsia="Times New Roman"/>
        </w:rPr>
        <w:br/>
      </w:r>
      <w:hyperlink r:id="rId11" w:tgtFrame="_blank" w:history="1">
        <w:r w:rsidRPr="00976DEA">
          <w:rPr>
            <w:rFonts w:eastAsia="Times New Roman"/>
            <w:color w:val="0000FF"/>
            <w:u w:val="single"/>
          </w:rPr>
          <w:t>www.asia.si.edu/collections/edan/object.cfm</w:t>
        </w:r>
      </w:hyperlink>
      <w:r w:rsidRPr="00976DEA">
        <w:rPr>
          <w:rFonts w:eastAsia="Times New Roman"/>
        </w:rPr>
        <w:br/>
      </w:r>
      <w:hyperlink r:id="rId12" w:tgtFrame="_blank" w:history="1">
        <w:r w:rsidRPr="00976DEA">
          <w:rPr>
            <w:rFonts w:eastAsia="Times New Roman"/>
            <w:color w:val="0000FF"/>
            <w:u w:val="single"/>
          </w:rPr>
          <w:t>www.asia.si.edu/collections/edan/object.cfm</w:t>
        </w:r>
      </w:hyperlink>
      <w:r w:rsidRPr="00976DEA">
        <w:rPr>
          <w:rFonts w:eastAsia="Times New Roman"/>
        </w:rPr>
        <w:br/>
      </w:r>
      <w:r w:rsidRPr="00976DEA">
        <w:rPr>
          <w:rFonts w:eastAsia="Times New Roman"/>
        </w:rPr>
        <w:br/>
        <w:t>Harvard Art Museum:</w:t>
      </w:r>
      <w:r w:rsidRPr="00976DEA">
        <w:rPr>
          <w:rFonts w:eastAsia="Times New Roman"/>
        </w:rPr>
        <w:br/>
      </w:r>
      <w:hyperlink r:id="rId13" w:tgtFrame="_blank" w:history="1">
        <w:r w:rsidRPr="00976DEA">
          <w:rPr>
            <w:rFonts w:eastAsia="Times New Roman"/>
            <w:color w:val="0000FF"/>
            <w:u w:val="single"/>
          </w:rPr>
          <w:t>www.harvardartmuseums.org/collections/object/204580</w:t>
        </w:r>
      </w:hyperlink>
      <w:r w:rsidRPr="00976DEA">
        <w:rPr>
          <w:rFonts w:eastAsia="Times New Roman"/>
        </w:rPr>
        <w:br/>
      </w:r>
      <w:r w:rsidRPr="00976DEA">
        <w:rPr>
          <w:rFonts w:eastAsia="Times New Roman"/>
        </w:rPr>
        <w:br/>
        <w:t>Asian Art Museum, San Francisco:</w:t>
      </w:r>
      <w:r w:rsidRPr="00976DEA">
        <w:rPr>
          <w:rFonts w:eastAsia="Times New Roman"/>
        </w:rPr>
        <w:br/>
      </w:r>
      <w:hyperlink r:id="rId14" w:tgtFrame="_blank" w:history="1">
        <w:r w:rsidRPr="00976DEA">
          <w:rPr>
            <w:rFonts w:eastAsia="Times New Roman"/>
            <w:color w:val="0000FF"/>
            <w:sz w:val="18"/>
            <w:szCs w:val="18"/>
            <w:u w:val="single"/>
          </w:rPr>
          <w:t>http://searchcollection.asianart.org/view/objects/asitem/nid/4051</w:t>
        </w:r>
      </w:hyperlink>
      <w:r w:rsidRPr="00976DEA">
        <w:rPr>
          <w:rFonts w:eastAsia="Times New Roman"/>
        </w:rPr>
        <w:t xml:space="preserve">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We are grateful to Filippo </w:t>
      </w:r>
      <w:proofErr w:type="spellStart"/>
      <w:r w:rsidRPr="00976DEA">
        <w:rPr>
          <w:rFonts w:eastAsia="Times New Roman"/>
        </w:rPr>
        <w:t>Salviati</w:t>
      </w:r>
      <w:proofErr w:type="spellEnd"/>
      <w:r w:rsidRPr="00976DEA">
        <w:rPr>
          <w:rFonts w:eastAsia="Times New Roman"/>
        </w:rPr>
        <w:t xml:space="preserve">, Professor for Chinese Art and Archaeology, Italian Institute of Oriental Studies, ‘Sapienza’ University, Rome, for cataloguing the present lot.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br/>
      </w:r>
      <w:proofErr w:type="spellStart"/>
      <w:r w:rsidRPr="00976DEA">
        <w:rPr>
          <w:rFonts w:ascii="MS Mincho" w:eastAsia="MS Mincho" w:hAnsi="MS Mincho" w:cs="MS Mincho" w:hint="eastAsia"/>
        </w:rPr>
        <w:t>罕</w:t>
      </w:r>
      <w:r w:rsidRPr="00976DEA">
        <w:rPr>
          <w:rFonts w:ascii="PMingLiU" w:eastAsia="PMingLiU" w:hAnsi="PMingLiU" w:cs="PMingLiU" w:hint="eastAsia"/>
        </w:rPr>
        <w:t>见的斜口筒形玉器</w:t>
      </w:r>
      <w:proofErr w:type="spellEnd"/>
      <w:r w:rsidRPr="00976DEA">
        <w:rPr>
          <w:rFonts w:eastAsia="Times New Roman"/>
        </w:rPr>
        <w:br/>
      </w:r>
      <w:r w:rsidRPr="00976DEA">
        <w:rPr>
          <w:rFonts w:ascii="MS Mincho" w:eastAsia="MS Mincho" w:hAnsi="MS Mincho" w:cs="MS Mincho" w:hint="eastAsia"/>
        </w:rPr>
        <w:t>中国，</w:t>
      </w:r>
      <w:r w:rsidRPr="00976DEA">
        <w:rPr>
          <w:rFonts w:ascii="PMingLiU" w:eastAsia="PMingLiU" w:hAnsi="PMingLiU" w:cs="PMingLiU" w:hint="eastAsia"/>
        </w:rPr>
        <w:t>红山文化，牛河梁，公元前</w:t>
      </w:r>
      <w:r w:rsidRPr="00976DEA">
        <w:rPr>
          <w:rFonts w:eastAsia="Times New Roman"/>
        </w:rPr>
        <w:t>3500 – 3000</w:t>
      </w:r>
      <w:r w:rsidRPr="00976DEA">
        <w:rPr>
          <w:rFonts w:eastAsia="Times New Roman"/>
        </w:rPr>
        <w:br/>
      </w:r>
      <w:r w:rsidRPr="00976DEA">
        <w:rPr>
          <w:rFonts w:ascii="MS Mincho" w:eastAsia="MS Mincho" w:hAnsi="MS Mincho" w:cs="MS Mincho" w:hint="eastAsia"/>
        </w:rPr>
        <w:t>高</w:t>
      </w:r>
      <w:r w:rsidRPr="00976DEA">
        <w:rPr>
          <w:rFonts w:eastAsia="Times New Roman"/>
        </w:rPr>
        <w:t>16,6</w:t>
      </w:r>
      <w:r w:rsidRPr="00976DEA">
        <w:rPr>
          <w:rFonts w:ascii="MS Mincho" w:eastAsia="MS Mincho" w:hAnsi="MS Mincho" w:cs="MS Mincho" w:hint="eastAsia"/>
        </w:rPr>
        <w:t>厘米，斜口最</w:t>
      </w:r>
      <w:r w:rsidRPr="00976DEA">
        <w:rPr>
          <w:rFonts w:ascii="PMingLiU" w:eastAsia="PMingLiU" w:hAnsi="PMingLiU" w:cs="PMingLiU" w:hint="eastAsia"/>
        </w:rPr>
        <w:t>宽处</w:t>
      </w:r>
      <w:r w:rsidRPr="00976DEA">
        <w:rPr>
          <w:rFonts w:eastAsia="Times New Roman"/>
        </w:rPr>
        <w:t>8</w:t>
      </w:r>
      <w:r w:rsidRPr="00976DEA">
        <w:rPr>
          <w:rFonts w:ascii="MS Mincho" w:eastAsia="MS Mincho" w:hAnsi="MS Mincho" w:cs="MS Mincho" w:hint="eastAsia"/>
        </w:rPr>
        <w:t>厘米</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根据德国</w:t>
      </w:r>
      <w:r w:rsidRPr="00976DEA">
        <w:rPr>
          <w:rFonts w:eastAsia="Times New Roman"/>
        </w:rPr>
        <w:t>Eppstein</w:t>
      </w:r>
      <w:r w:rsidRPr="00976DEA">
        <w:rPr>
          <w:rFonts w:ascii="MS Mincho" w:eastAsia="MS Mincho" w:hAnsi="MS Mincho" w:cs="MS Mincho" w:hint="eastAsia"/>
        </w:rPr>
        <w:t>文物分析有限</w:t>
      </w:r>
      <w:r w:rsidRPr="00976DEA">
        <w:rPr>
          <w:rFonts w:ascii="PMingLiU" w:eastAsia="PMingLiU" w:hAnsi="PMingLiU" w:cs="PMingLiU" w:hint="eastAsia"/>
        </w:rPr>
        <w:t>责任公司（</w:t>
      </w:r>
      <w:r w:rsidRPr="00976DEA">
        <w:rPr>
          <w:rFonts w:eastAsia="Times New Roman"/>
        </w:rPr>
        <w:t>Antique</w:t>
      </w:r>
      <w:proofErr w:type="spellEnd"/>
      <w:r w:rsidRPr="00976DEA">
        <w:rPr>
          <w:rFonts w:eastAsia="Times New Roman"/>
        </w:rPr>
        <w:t xml:space="preserve"> Analytics GmbH</w:t>
      </w:r>
      <w:r w:rsidRPr="00976DEA">
        <w:rPr>
          <w:rFonts w:ascii="MS Mincho" w:eastAsia="MS Mincho" w:hAnsi="MS Mincho" w:cs="MS Mincho" w:hint="eastAsia"/>
        </w:rPr>
        <w:t>）</w:t>
      </w:r>
      <w:r w:rsidRPr="00976DEA">
        <w:rPr>
          <w:rFonts w:eastAsia="Times New Roman"/>
        </w:rPr>
        <w:t>2003</w:t>
      </w:r>
      <w:r w:rsidRPr="00976DEA">
        <w:rPr>
          <w:rFonts w:ascii="MS Mincho" w:eastAsia="MS Mincho" w:hAnsi="MS Mincho" w:cs="MS Mincho" w:hint="eastAsia"/>
        </w:rPr>
        <w:t>年出具的</w:t>
      </w:r>
      <w:r w:rsidRPr="00976DEA">
        <w:rPr>
          <w:rFonts w:ascii="PMingLiU" w:eastAsia="PMingLiU" w:hAnsi="PMingLiU" w:cs="PMingLiU" w:hint="eastAsia"/>
        </w:rPr>
        <w:t>检测结果，用料为软玉，估计经过长期裸露风化，没有任何现代技术加工的痕迹。</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意大利</w:t>
      </w:r>
      <w:r w:rsidRPr="00976DEA">
        <w:rPr>
          <w:rFonts w:ascii="PMingLiU" w:eastAsia="PMingLiU" w:hAnsi="PMingLiU" w:cs="PMingLiU" w:hint="eastAsia"/>
        </w:rPr>
        <w:t>罗马</w:t>
      </w:r>
      <w:r w:rsidRPr="00976DEA">
        <w:rPr>
          <w:rFonts w:eastAsia="Times New Roman"/>
        </w:rPr>
        <w:t>Sapienza</w:t>
      </w:r>
      <w:r w:rsidRPr="00976DEA">
        <w:rPr>
          <w:rFonts w:ascii="MS Mincho" w:eastAsia="MS Mincho" w:hAnsi="MS Mincho" w:cs="MS Mincho" w:hint="eastAsia"/>
        </w:rPr>
        <w:t>大学的</w:t>
      </w:r>
      <w:r w:rsidRPr="00976DEA">
        <w:rPr>
          <w:rFonts w:eastAsia="Times New Roman"/>
        </w:rPr>
        <w:t>Filippo</w:t>
      </w:r>
      <w:proofErr w:type="spellEnd"/>
      <w:r w:rsidRPr="00976DEA">
        <w:rPr>
          <w:rFonts w:eastAsia="Times New Roman"/>
        </w:rPr>
        <w:t xml:space="preserve"> Salviati</w:t>
      </w:r>
      <w:r w:rsidRPr="00976DEA">
        <w:rPr>
          <w:rFonts w:ascii="MS Mincho" w:eastAsia="MS Mincho" w:hAnsi="MS Mincho" w:cs="MS Mincho" w:hint="eastAsia"/>
        </w:rPr>
        <w:t>教授</w:t>
      </w:r>
      <w:r w:rsidRPr="00976DEA">
        <w:rPr>
          <w:rFonts w:ascii="PMingLiU" w:eastAsia="PMingLiU" w:hAnsi="PMingLiU" w:cs="PMingLiU" w:hint="eastAsia"/>
        </w:rPr>
        <w:t>认为，根据这件玉器的尺寸，造型以及雕刻抛光的工艺特点判断，这件玉器应该属于中国辽宁牛河梁地区的红山文化文物。</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根据已出土的此</w:t>
      </w:r>
      <w:r w:rsidRPr="00976DEA">
        <w:rPr>
          <w:rFonts w:ascii="PMingLiU" w:eastAsia="PMingLiU" w:hAnsi="PMingLiU" w:cs="PMingLiU" w:hint="eastAsia"/>
        </w:rPr>
        <w:t>类马蹄型的玉器在墓地中的位置（残骸脑骨后方</w:t>
      </w:r>
      <w:proofErr w:type="spellEnd"/>
      <w:r w:rsidRPr="00976DEA">
        <w:rPr>
          <w:rFonts w:ascii="PMingLiU" w:eastAsia="PMingLiU" w:hAnsi="PMingLiU" w:cs="PMingLiU" w:hint="eastAsia"/>
        </w:rPr>
        <w:t>），</w:t>
      </w:r>
      <w:proofErr w:type="spellStart"/>
      <w:r w:rsidRPr="00976DEA">
        <w:rPr>
          <w:rFonts w:ascii="PMingLiU" w:eastAsia="PMingLiU" w:hAnsi="PMingLiU" w:cs="PMingLiU" w:hint="eastAsia"/>
        </w:rPr>
        <w:t>学者们一致认为这种玉器应该是被用来固定头发的</w:t>
      </w:r>
      <w:proofErr w:type="spellEnd"/>
      <w:r w:rsidRPr="00976DEA">
        <w:rPr>
          <w:rFonts w:ascii="PMingLiU" w:eastAsia="PMingLiU" w:hAnsi="PMingLiU" w:cs="PMingLiU" w:hint="eastAsia"/>
        </w:rPr>
        <w:t>。</w:t>
      </w:r>
      <w:r w:rsidRPr="00976DEA">
        <w:rPr>
          <w:rFonts w:eastAsia="Times New Roman"/>
        </w:rPr>
        <w:br/>
      </w:r>
      <w:proofErr w:type="spellStart"/>
      <w:r w:rsidRPr="00976DEA">
        <w:rPr>
          <w:rFonts w:ascii="MS Mincho" w:eastAsia="MS Mincho" w:hAnsi="MS Mincho" w:cs="MS Mincho" w:hint="eastAsia"/>
        </w:rPr>
        <w:t>参考文献</w:t>
      </w:r>
      <w:proofErr w:type="spellEnd"/>
      <w:r w:rsidRPr="00976DEA">
        <w:rPr>
          <w:rFonts w:ascii="MS Mincho" w:eastAsia="MS Mincho" w:hAnsi="MS Mincho" w:cs="MS Mincho" w:hint="eastAsia"/>
        </w:rPr>
        <w:t>：</w:t>
      </w:r>
      <w:r w:rsidRPr="00976DEA">
        <w:rPr>
          <w:rFonts w:eastAsia="Times New Roman"/>
        </w:rPr>
        <w:br/>
      </w:r>
      <w:r w:rsidRPr="00976DEA">
        <w:rPr>
          <w:rFonts w:ascii="MS Mincho" w:eastAsia="MS Mincho" w:hAnsi="MS Mincho" w:cs="MS Mincho" w:hint="eastAsia"/>
        </w:rPr>
        <w:t>河北美</w:t>
      </w:r>
      <w:r w:rsidRPr="00976DEA">
        <w:rPr>
          <w:rFonts w:ascii="PMingLiU" w:eastAsia="PMingLiU" w:hAnsi="PMingLiU" w:cs="PMingLiU" w:hint="eastAsia"/>
        </w:rPr>
        <w:t>术出版社出</w:t>
      </w:r>
      <w:r w:rsidRPr="00976DEA">
        <w:rPr>
          <w:rFonts w:eastAsia="Times New Roman"/>
        </w:rPr>
        <w:t>1993</w:t>
      </w:r>
      <w:r w:rsidRPr="00976DEA">
        <w:rPr>
          <w:rFonts w:ascii="MS Mincho" w:eastAsia="MS Mincho" w:hAnsi="MS Mincho" w:cs="MS Mincho" w:hint="eastAsia"/>
        </w:rPr>
        <w:t>年出版的牟永抗著的中国玉器全集</w:t>
      </w:r>
      <w:r w:rsidRPr="00976DEA">
        <w:rPr>
          <w:rFonts w:eastAsia="Times New Roman"/>
        </w:rPr>
        <w:t xml:space="preserve"> – 1</w:t>
      </w:r>
      <w:r w:rsidRPr="00976DEA">
        <w:rPr>
          <w:rFonts w:ascii="MS Mincho" w:eastAsia="MS Mincho" w:hAnsi="MS Mincho" w:cs="MS Mincho" w:hint="eastAsia"/>
        </w:rPr>
        <w:t xml:space="preserve">：原始社会　</w:t>
      </w:r>
      <w:proofErr w:type="spellStart"/>
      <w:r w:rsidRPr="00976DEA">
        <w:rPr>
          <w:rFonts w:ascii="MS Mincho" w:eastAsia="MS Mincho" w:hAnsi="MS Mincho" w:cs="MS Mincho" w:hint="eastAsia"/>
        </w:rPr>
        <w:t>第三</w:t>
      </w:r>
      <w:r w:rsidRPr="00976DEA">
        <w:rPr>
          <w:rFonts w:ascii="PMingLiU" w:eastAsia="PMingLiU" w:hAnsi="PMingLiU" w:cs="PMingLiU" w:hint="eastAsia"/>
        </w:rPr>
        <w:t>图</w:t>
      </w:r>
      <w:proofErr w:type="spellEnd"/>
      <w:r w:rsidRPr="00976DEA">
        <w:rPr>
          <w:rFonts w:eastAsia="Times New Roman"/>
        </w:rPr>
        <w:br/>
      </w:r>
      <w:r w:rsidRPr="00976DEA">
        <w:rPr>
          <w:rFonts w:ascii="PMingLiU" w:eastAsia="PMingLiU" w:hAnsi="PMingLiU" w:cs="PMingLiU" w:hint="eastAsia"/>
        </w:rPr>
        <w:t>伦敦大英博物馆</w:t>
      </w:r>
      <w:r w:rsidRPr="00976DEA">
        <w:rPr>
          <w:rFonts w:eastAsia="Times New Roman"/>
        </w:rPr>
        <w:t>1995</w:t>
      </w:r>
      <w:r w:rsidRPr="00976DEA">
        <w:rPr>
          <w:rFonts w:ascii="MS Mincho" w:eastAsia="MS Mincho" w:hAnsi="MS Mincho" w:cs="MS Mincho" w:hint="eastAsia"/>
        </w:rPr>
        <w:t>年出版的</w:t>
      </w:r>
      <w:r w:rsidRPr="00976DEA">
        <w:rPr>
          <w:rFonts w:eastAsia="Times New Roman"/>
        </w:rPr>
        <w:t xml:space="preserve"> Jessica Rawson </w:t>
      </w:r>
      <w:proofErr w:type="spellStart"/>
      <w:r w:rsidRPr="00976DEA">
        <w:rPr>
          <w:rFonts w:ascii="MS Mincho" w:eastAsia="MS Mincho" w:hAnsi="MS Mincho" w:cs="MS Mincho" w:hint="eastAsia"/>
        </w:rPr>
        <w:t>著作</w:t>
      </w:r>
      <w:r w:rsidRPr="00976DEA">
        <w:rPr>
          <w:rFonts w:eastAsia="Times New Roman"/>
        </w:rPr>
        <w:t>Chinese</w:t>
      </w:r>
      <w:proofErr w:type="spellEnd"/>
      <w:r w:rsidRPr="00976DEA">
        <w:rPr>
          <w:rFonts w:eastAsia="Times New Roman"/>
        </w:rPr>
        <w:t xml:space="preserve"> Jade from the Neolithic to the Qing</w:t>
      </w:r>
      <w:r w:rsidRPr="00976DEA">
        <w:rPr>
          <w:rFonts w:eastAsia="Times New Roman"/>
        </w:rPr>
        <w:br/>
      </w:r>
      <w:r w:rsidRPr="00976DEA">
        <w:rPr>
          <w:rFonts w:ascii="MS Mincho" w:eastAsia="MS Mincho" w:hAnsi="MS Mincho" w:cs="MS Mincho" w:hint="eastAsia"/>
        </w:rPr>
        <w:lastRenderedPageBreak/>
        <w:t>耶</w:t>
      </w:r>
      <w:r w:rsidRPr="00976DEA">
        <w:rPr>
          <w:rFonts w:ascii="PMingLiU" w:eastAsia="PMingLiU" w:hAnsi="PMingLiU" w:cs="PMingLiU" w:hint="eastAsia"/>
        </w:rPr>
        <w:t>鲁大学出版社</w:t>
      </w:r>
      <w:r w:rsidRPr="00976DEA">
        <w:rPr>
          <w:rFonts w:eastAsia="Times New Roman"/>
        </w:rPr>
        <w:t>1999</w:t>
      </w:r>
      <w:r w:rsidRPr="00976DEA">
        <w:rPr>
          <w:rFonts w:ascii="MS Mincho" w:eastAsia="MS Mincho" w:hAnsi="MS Mincho" w:cs="MS Mincho" w:hint="eastAsia"/>
        </w:rPr>
        <w:t>年出版的</w:t>
      </w:r>
      <w:r w:rsidRPr="00976DEA">
        <w:rPr>
          <w:rFonts w:ascii="PMingLiU" w:eastAsia="PMingLiU" w:hAnsi="PMingLiU" w:cs="PMingLiU" w:hint="eastAsia"/>
        </w:rPr>
        <w:t>杨晓能著作</w:t>
      </w:r>
      <w:r w:rsidRPr="00976DEA">
        <w:rPr>
          <w:rFonts w:eastAsia="Times New Roman"/>
        </w:rPr>
        <w:t xml:space="preserve">The Golden Age of Chinese Archaeology - Celebrated Discoveries from The People`s Republic of China </w:t>
      </w:r>
      <w:r w:rsidRPr="00976DEA">
        <w:rPr>
          <w:rFonts w:ascii="PMingLiU" w:eastAsia="PMingLiU" w:hAnsi="PMingLiU" w:cs="PMingLiU" w:hint="eastAsia"/>
        </w:rPr>
        <w:t>图录第</w:t>
      </w:r>
      <w:r w:rsidRPr="00976DEA">
        <w:rPr>
          <w:rFonts w:eastAsia="Times New Roman"/>
        </w:rPr>
        <w:t>11</w:t>
      </w:r>
      <w:r w:rsidRPr="00976DEA">
        <w:rPr>
          <w:rFonts w:ascii="MS Mincho" w:eastAsia="MS Mincho" w:hAnsi="MS Mincho" w:cs="MS Mincho" w:hint="eastAsia"/>
        </w:rPr>
        <w:t>件</w:t>
      </w:r>
      <w:r w:rsidRPr="00976DEA">
        <w:rPr>
          <w:rFonts w:eastAsia="Times New Roman"/>
        </w:rPr>
        <w:br/>
      </w:r>
      <w:r w:rsidRPr="00976DEA">
        <w:rPr>
          <w:rFonts w:ascii="MS Mincho" w:eastAsia="MS Mincho" w:hAnsi="MS Mincho" w:cs="MS Mincho" w:hint="eastAsia"/>
        </w:rPr>
        <w:t>北京</w:t>
      </w:r>
      <w:r w:rsidRPr="00976DEA">
        <w:rPr>
          <w:rFonts w:eastAsia="Times New Roman"/>
        </w:rPr>
        <w:t>2012</w:t>
      </w:r>
      <w:r w:rsidRPr="00976DEA">
        <w:rPr>
          <w:rFonts w:ascii="PMingLiU" w:eastAsia="PMingLiU" w:hAnsi="PMingLiU" w:cs="PMingLiU" w:hint="eastAsia"/>
        </w:rPr>
        <w:t>张树伟和李向东主办的时空穿越：红山文化玉器精品</w:t>
      </w:r>
      <w:r w:rsidRPr="00976DEA">
        <w:rPr>
          <w:rFonts w:ascii="MS Mincho" w:eastAsia="MS Mincho" w:hAnsi="MS Mincho" w:cs="MS Mincho" w:hint="eastAsia"/>
        </w:rPr>
        <w:t xml:space="preserve">展　</w:t>
      </w:r>
      <w:r w:rsidRPr="00976DEA">
        <w:rPr>
          <w:rFonts w:ascii="PMingLiU" w:eastAsia="PMingLiU" w:hAnsi="PMingLiU" w:cs="PMingLiU" w:hint="eastAsia"/>
        </w:rPr>
        <w:t>图录</w:t>
      </w:r>
      <w:r w:rsidRPr="00976DEA">
        <w:rPr>
          <w:rFonts w:eastAsia="Times New Roman"/>
        </w:rPr>
        <w:t>59-63</w:t>
      </w:r>
      <w:r w:rsidRPr="00976DEA">
        <w:rPr>
          <w:rFonts w:ascii="PMingLiU" w:eastAsia="PMingLiU" w:hAnsi="PMingLiU" w:cs="PMingLiU"/>
        </w:rPr>
        <w:t>页</w:t>
      </w:r>
    </w:p>
    <w:p w:rsidR="00976DEA" w:rsidRPr="00976DEA" w:rsidRDefault="00976DEA" w:rsidP="00976DEA">
      <w:pPr>
        <w:spacing w:before="100" w:beforeAutospacing="1" w:after="100" w:afterAutospacing="1" w:line="240" w:lineRule="auto"/>
        <w:rPr>
          <w:rFonts w:eastAsia="Times New Roman"/>
        </w:rPr>
      </w:pPr>
      <w:proofErr w:type="spellStart"/>
      <w:r w:rsidRPr="00976DEA">
        <w:rPr>
          <w:rFonts w:eastAsia="Times New Roman"/>
        </w:rPr>
        <w:t>Esperta</w:t>
      </w:r>
      <w:proofErr w:type="spellEnd"/>
      <w:r w:rsidRPr="00976DEA">
        <w:rPr>
          <w:rFonts w:eastAsia="Times New Roman"/>
        </w:rPr>
        <w:t xml:space="preserve">: </w:t>
      </w:r>
      <w:hyperlink r:id="rId15" w:history="1">
        <w:r w:rsidRPr="00976DEA">
          <w:rPr>
            <w:rFonts w:eastAsia="Times New Roman"/>
            <w:color w:val="0000FF"/>
            <w:u w:val="single"/>
          </w:rPr>
          <w:t xml:space="preserve">M.A. Angelika </w:t>
        </w:r>
        <w:proofErr w:type="spellStart"/>
        <w:r w:rsidRPr="00976DEA">
          <w:rPr>
            <w:rFonts w:eastAsia="Times New Roman"/>
            <w:color w:val="0000FF"/>
            <w:u w:val="single"/>
          </w:rPr>
          <w:t>Borchert</w:t>
        </w:r>
        <w:proofErr w:type="spellEnd"/>
      </w:hyperlink>
    </w:p>
    <w:p w:rsidR="00976DEA" w:rsidRPr="00976DEA" w:rsidRDefault="00976DEA" w:rsidP="00976DEA">
      <w:pPr>
        <w:spacing w:after="0" w:line="240" w:lineRule="auto"/>
        <w:rPr>
          <w:rFonts w:eastAsia="Times New Roman"/>
        </w:rPr>
      </w:pPr>
      <w:r w:rsidRPr="00976DEA">
        <w:rPr>
          <w:rFonts w:eastAsia="Times New Roman"/>
        </w:rPr>
        <w:t>A rare and well-carved green jade ‘hoof-</w:t>
      </w:r>
      <w:proofErr w:type="gramStart"/>
      <w:r w:rsidRPr="00976DEA">
        <w:rPr>
          <w:rFonts w:eastAsia="Times New Roman"/>
        </w:rPr>
        <w:t>shaped‘ tubular</w:t>
      </w:r>
      <w:proofErr w:type="gramEnd"/>
      <w:r w:rsidRPr="00976DEA">
        <w:rPr>
          <w:rFonts w:eastAsia="Times New Roman"/>
        </w:rPr>
        <w:t xml:space="preserve"> ornament. </w:t>
      </w:r>
    </w:p>
    <w:p w:rsidR="00976DEA" w:rsidRPr="00976DEA" w:rsidRDefault="00976DEA" w:rsidP="00976DEA">
      <w:pPr>
        <w:spacing w:after="0" w:line="240" w:lineRule="auto"/>
        <w:rPr>
          <w:rFonts w:eastAsia="Times New Roman"/>
          <w:color w:val="B72841"/>
        </w:rPr>
      </w:pPr>
      <w:proofErr w:type="spellStart"/>
      <w:r w:rsidRPr="00976DEA">
        <w:rPr>
          <w:rFonts w:eastAsia="Times New Roman"/>
          <w:color w:val="B72841"/>
        </w:rPr>
        <w:t>conversione</w:t>
      </w:r>
      <w:proofErr w:type="spellEnd"/>
      <w:r w:rsidRPr="00976DEA">
        <w:rPr>
          <w:rFonts w:eastAsia="Times New Roman"/>
          <w:color w:val="B72841"/>
        </w:rPr>
        <w:t xml:space="preserve"> </w:t>
      </w:r>
      <w:proofErr w:type="spellStart"/>
      <w:r w:rsidRPr="00976DEA">
        <w:rPr>
          <w:rFonts w:eastAsia="Times New Roman"/>
          <w:color w:val="B72841"/>
        </w:rPr>
        <w:t>valuta</w:t>
      </w:r>
      <w:proofErr w:type="spellEnd"/>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Prezzo</w:t>
      </w:r>
      <w:proofErr w:type="spellEnd"/>
      <w:r w:rsidRPr="00976DEA">
        <w:rPr>
          <w:rFonts w:eastAsia="Times New Roman"/>
        </w:rPr>
        <w:t xml:space="preserve"> </w:t>
      </w:r>
      <w:proofErr w:type="spellStart"/>
      <w:r w:rsidRPr="00976DEA">
        <w:rPr>
          <w:rFonts w:eastAsia="Times New Roman"/>
        </w:rPr>
        <w:t>realizzato</w:t>
      </w:r>
      <w:proofErr w:type="spell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EUR 11.</w:t>
      </w:r>
      <w:proofErr w:type="gramStart"/>
      <w:r w:rsidRPr="00976DEA">
        <w:rPr>
          <w:rFonts w:eastAsia="Times New Roman"/>
        </w:rPr>
        <w:t>250 ,</w:t>
      </w:r>
      <w:proofErr w:type="gram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b/>
        </w:rPr>
      </w:pPr>
      <w:r w:rsidRPr="003433B4">
        <w:rPr>
          <w:rFonts w:eastAsia="Times New Roman"/>
          <w:b/>
        </w:rPr>
        <w:t xml:space="preserve">USD </w:t>
      </w:r>
      <w:r w:rsidRPr="00976DEA">
        <w:rPr>
          <w:rFonts w:eastAsia="Times New Roman"/>
          <w:b/>
        </w:rPr>
        <w:t>14.</w:t>
      </w:r>
      <w:proofErr w:type="gramStart"/>
      <w:r w:rsidRPr="00976DEA">
        <w:rPr>
          <w:rFonts w:eastAsia="Times New Roman"/>
          <w:b/>
        </w:rPr>
        <w:t>000 ,</w:t>
      </w:r>
      <w:proofErr w:type="gramEnd"/>
      <w:r w:rsidRPr="00976DEA">
        <w:rPr>
          <w:rFonts w:eastAsia="Times New Roman"/>
          <w:b/>
        </w:rPr>
        <w:t>-</w:t>
      </w:r>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Stima</w:t>
      </w:r>
      <w:proofErr w:type="spellEnd"/>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EUR 6.</w:t>
      </w:r>
      <w:proofErr w:type="gramStart"/>
      <w:r w:rsidRPr="00976DEA">
        <w:rPr>
          <w:rFonts w:eastAsia="Times New Roman"/>
        </w:rPr>
        <w:t>000 ,</w:t>
      </w:r>
      <w:proofErr w:type="gramEnd"/>
      <w:r w:rsidRPr="00976DEA">
        <w:rPr>
          <w:rFonts w:eastAsia="Times New Roman"/>
        </w:rPr>
        <w:t>- a 9.000 ,-</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USD 7.</w:t>
      </w:r>
      <w:proofErr w:type="gramStart"/>
      <w:r w:rsidRPr="00976DEA">
        <w:rPr>
          <w:rFonts w:eastAsia="Times New Roman"/>
        </w:rPr>
        <w:t>300 ,</w:t>
      </w:r>
      <w:proofErr w:type="gramEnd"/>
      <w:r w:rsidRPr="00976DEA">
        <w:rPr>
          <w:rFonts w:eastAsia="Times New Roman"/>
        </w:rPr>
        <w:t>- a 11.000 ,-</w:t>
      </w:r>
    </w:p>
    <w:p w:rsidR="00976DEA" w:rsidRPr="00976DEA" w:rsidRDefault="00976DEA" w:rsidP="00976DEA">
      <w:pPr>
        <w:spacing w:after="0" w:line="240" w:lineRule="auto"/>
        <w:rPr>
          <w:rFonts w:eastAsia="Times New Roman"/>
        </w:rPr>
      </w:pPr>
      <w:r w:rsidRPr="00976DEA">
        <w:rPr>
          <w:rFonts w:eastAsia="Times New Roman"/>
        </w:rPr>
        <w:t xml:space="preserve">Hotline </w:t>
      </w:r>
    </w:p>
    <w:p w:rsidR="00976DEA" w:rsidRPr="00976DEA" w:rsidRDefault="00976DEA" w:rsidP="00976DEA">
      <w:pPr>
        <w:spacing w:after="0" w:line="240" w:lineRule="auto"/>
        <w:rPr>
          <w:rFonts w:eastAsia="Times New Roman"/>
        </w:rPr>
      </w:pPr>
      <w:r w:rsidRPr="00976DEA">
        <w:rPr>
          <w:rFonts w:eastAsia="Times New Roman"/>
        </w:rPr>
        <w:t>+43 1 515 60 200</w:t>
      </w:r>
    </w:p>
    <w:p w:rsidR="00976DEA" w:rsidRPr="00976DEA" w:rsidRDefault="00976DEA" w:rsidP="00976DEA">
      <w:pPr>
        <w:spacing w:before="100" w:beforeAutospacing="1" w:after="100" w:afterAutospacing="1" w:line="240" w:lineRule="auto"/>
        <w:outlineLvl w:val="3"/>
        <w:rPr>
          <w:rFonts w:eastAsia="Times New Roman"/>
          <w:b/>
        </w:rPr>
      </w:pPr>
      <w:r w:rsidRPr="00976DEA">
        <w:rPr>
          <w:rFonts w:eastAsia="Times New Roman"/>
          <w:b/>
        </w:rPr>
        <w:t>DETTAGLI ASTA</w:t>
      </w:r>
    </w:p>
    <w:p w:rsidR="00976DEA" w:rsidRPr="00976DEA" w:rsidRDefault="00767937" w:rsidP="00976DEA">
      <w:pPr>
        <w:spacing w:before="100" w:beforeAutospacing="1" w:after="240" w:line="240" w:lineRule="auto"/>
        <w:rPr>
          <w:rFonts w:eastAsia="Times New Roman"/>
        </w:rPr>
      </w:pPr>
      <w:hyperlink r:id="rId16" w:history="1">
        <w:r w:rsidR="00976DEA" w:rsidRPr="00976DEA">
          <w:rPr>
            <w:rFonts w:eastAsia="Times New Roman"/>
            <w:b/>
            <w:color w:val="0000FF"/>
            <w:u w:val="single"/>
          </w:rPr>
          <w:t xml:space="preserve">Arte </w:t>
        </w:r>
        <w:proofErr w:type="spellStart"/>
        <w:r w:rsidR="00976DEA" w:rsidRPr="00976DEA">
          <w:rPr>
            <w:rFonts w:eastAsia="Times New Roman"/>
            <w:b/>
            <w:color w:val="0000FF"/>
            <w:u w:val="single"/>
          </w:rPr>
          <w:t>asiatica</w:t>
        </w:r>
        <w:proofErr w:type="spellEnd"/>
      </w:hyperlink>
      <w:r w:rsidR="00976DEA" w:rsidRPr="00976DEA">
        <w:rPr>
          <w:rFonts w:eastAsia="Times New Roman"/>
          <w:b/>
        </w:rPr>
        <w:t xml:space="preserve"> </w:t>
      </w:r>
      <w:r w:rsidR="00976DEA" w:rsidRPr="00976DEA">
        <w:rPr>
          <w:rFonts w:eastAsia="Times New Roman"/>
        </w:rPr>
        <w:br/>
      </w:r>
      <w:r w:rsidR="00976DEA" w:rsidRPr="00976DEA">
        <w:rPr>
          <w:rFonts w:eastAsia="Times New Roman"/>
          <w:b/>
        </w:rPr>
        <w:t>Data:</w:t>
      </w:r>
      <w:r w:rsidR="00976DEA" w:rsidRPr="00976DEA">
        <w:rPr>
          <w:rFonts w:eastAsia="Times New Roman"/>
        </w:rPr>
        <w:t xml:space="preserve"> 18.06.2015, 16:00 </w:t>
      </w:r>
      <w:r w:rsidR="00976DEA" w:rsidRPr="00976DEA">
        <w:rPr>
          <w:rFonts w:eastAsia="Times New Roman"/>
        </w:rPr>
        <w:br/>
      </w:r>
      <w:proofErr w:type="spellStart"/>
      <w:r w:rsidR="00976DEA" w:rsidRPr="00976DEA">
        <w:rPr>
          <w:rFonts w:eastAsia="Times New Roman"/>
          <w:b/>
        </w:rPr>
        <w:t>Luogo</w:t>
      </w:r>
      <w:proofErr w:type="spellEnd"/>
      <w:r w:rsidR="00976DEA" w:rsidRPr="00976DEA">
        <w:rPr>
          <w:rFonts w:eastAsia="Times New Roman"/>
          <w:b/>
        </w:rPr>
        <w:t xml:space="preserve"> </w:t>
      </w:r>
      <w:proofErr w:type="spellStart"/>
      <w:r w:rsidR="00976DEA" w:rsidRPr="00976DEA">
        <w:rPr>
          <w:rFonts w:eastAsia="Times New Roman"/>
          <w:b/>
        </w:rPr>
        <w:t>dell'asta</w:t>
      </w:r>
      <w:proofErr w:type="spellEnd"/>
      <w:r w:rsidR="00976DEA" w:rsidRPr="00976DEA">
        <w:rPr>
          <w:rFonts w:eastAsia="Times New Roman"/>
          <w:b/>
        </w:rPr>
        <w:t>:</w:t>
      </w:r>
      <w:r w:rsidR="00976DEA" w:rsidRPr="00976DEA">
        <w:rPr>
          <w:rFonts w:eastAsia="Times New Roman"/>
        </w:rPr>
        <w:t xml:space="preserve"> </w:t>
      </w:r>
      <w:hyperlink r:id="rId17" w:history="1">
        <w:proofErr w:type="spellStart"/>
        <w:r w:rsidR="00976DEA" w:rsidRPr="00976DEA">
          <w:rPr>
            <w:rFonts w:eastAsia="Times New Roman"/>
            <w:color w:val="0000FF"/>
            <w:u w:val="single"/>
          </w:rPr>
          <w:t>Palais</w:t>
        </w:r>
        <w:proofErr w:type="spellEnd"/>
        <w:r w:rsidR="00976DEA" w:rsidRPr="00976DEA">
          <w:rPr>
            <w:rFonts w:eastAsia="Times New Roman"/>
            <w:color w:val="0000FF"/>
            <w:u w:val="single"/>
          </w:rPr>
          <w:t xml:space="preserve"> </w:t>
        </w:r>
        <w:proofErr w:type="spellStart"/>
        <w:r w:rsidR="00976DEA" w:rsidRPr="00976DEA">
          <w:rPr>
            <w:rFonts w:eastAsia="Times New Roman"/>
            <w:color w:val="0000FF"/>
            <w:u w:val="single"/>
          </w:rPr>
          <w:t>Dorotheum</w:t>
        </w:r>
        <w:proofErr w:type="spellEnd"/>
        <w:r w:rsidR="00976DEA" w:rsidRPr="00976DEA">
          <w:rPr>
            <w:rFonts w:eastAsia="Times New Roman"/>
            <w:color w:val="0000FF"/>
            <w:u w:val="single"/>
          </w:rPr>
          <w:t xml:space="preserve"> Vienna</w:t>
        </w:r>
      </w:hyperlink>
      <w:r w:rsidR="00976DEA" w:rsidRPr="00976DEA">
        <w:rPr>
          <w:rFonts w:eastAsia="Times New Roman"/>
        </w:rPr>
        <w:br/>
      </w:r>
      <w:proofErr w:type="spellStart"/>
      <w:r w:rsidR="00976DEA" w:rsidRPr="00976DEA">
        <w:rPr>
          <w:rFonts w:eastAsia="Times New Roman"/>
          <w:b/>
        </w:rPr>
        <w:t>Esposizione</w:t>
      </w:r>
      <w:proofErr w:type="spellEnd"/>
      <w:r w:rsidR="00976DEA" w:rsidRPr="00976DEA">
        <w:rPr>
          <w:rFonts w:eastAsia="Times New Roman"/>
          <w:b/>
        </w:rPr>
        <w:t xml:space="preserve">: </w:t>
      </w:r>
      <w:r w:rsidR="00976DEA" w:rsidRPr="00976DEA">
        <w:rPr>
          <w:rFonts w:eastAsia="Times New Roman"/>
        </w:rPr>
        <w:t>12.06. - 18.06.2015</w:t>
      </w:r>
    </w:p>
    <w:p w:rsidR="00976DEA" w:rsidRPr="00976DEA" w:rsidRDefault="00976DEA" w:rsidP="00976DEA">
      <w:pPr>
        <w:spacing w:before="100" w:beforeAutospacing="1" w:after="100" w:afterAutospacing="1" w:line="240" w:lineRule="auto"/>
        <w:rPr>
          <w:rFonts w:eastAsia="Times New Roman"/>
          <w:b/>
          <w:lang w:val="fr-FR"/>
        </w:rPr>
      </w:pPr>
      <w:r w:rsidRPr="00976DEA">
        <w:rPr>
          <w:rFonts w:eastAsia="Times New Roman"/>
          <w:b/>
          <w:lang w:val="fr-FR"/>
        </w:rPr>
        <w:t>**</w:t>
      </w:r>
      <w:proofErr w:type="spellStart"/>
      <w:r w:rsidRPr="00976DEA">
        <w:rPr>
          <w:rFonts w:eastAsia="Times New Roman"/>
          <w:b/>
          <w:lang w:val="fr-FR"/>
        </w:rPr>
        <w:t>Prezzo</w:t>
      </w:r>
      <w:proofErr w:type="spellEnd"/>
      <w:r w:rsidRPr="00976DEA">
        <w:rPr>
          <w:rFonts w:eastAsia="Times New Roman"/>
          <w:b/>
          <w:lang w:val="fr-FR"/>
        </w:rPr>
        <w:t xml:space="preserve"> d'</w:t>
      </w:r>
      <w:proofErr w:type="spellStart"/>
      <w:r w:rsidRPr="00976DEA">
        <w:rPr>
          <w:rFonts w:eastAsia="Times New Roman"/>
          <w:b/>
          <w:lang w:val="fr-FR"/>
        </w:rPr>
        <w:t>acquisto</w:t>
      </w:r>
      <w:proofErr w:type="spellEnd"/>
      <w:r w:rsidRPr="00976DEA">
        <w:rPr>
          <w:rFonts w:eastAsia="Times New Roman"/>
          <w:b/>
          <w:lang w:val="fr-FR"/>
        </w:rPr>
        <w:t xml:space="preserve"> </w:t>
      </w:r>
      <w:proofErr w:type="spellStart"/>
      <w:r w:rsidRPr="00976DEA">
        <w:rPr>
          <w:rFonts w:eastAsia="Times New Roman"/>
          <w:b/>
          <w:lang w:val="fr-FR"/>
        </w:rPr>
        <w:t>comprensivo</w:t>
      </w:r>
      <w:proofErr w:type="spellEnd"/>
      <w:r w:rsidRPr="00976DEA">
        <w:rPr>
          <w:rFonts w:eastAsia="Times New Roman"/>
          <w:b/>
          <w:lang w:val="fr-FR"/>
        </w:rPr>
        <w:t xml:space="preserve"> di </w:t>
      </w:r>
      <w:proofErr w:type="spellStart"/>
      <w:r w:rsidRPr="00976DEA">
        <w:rPr>
          <w:rFonts w:eastAsia="Times New Roman"/>
          <w:b/>
          <w:lang w:val="fr-FR"/>
        </w:rPr>
        <w:t>diritti</w:t>
      </w:r>
      <w:proofErr w:type="spellEnd"/>
      <w:r w:rsidRPr="00976DEA">
        <w:rPr>
          <w:rFonts w:eastAsia="Times New Roman"/>
          <w:b/>
          <w:lang w:val="fr-FR"/>
        </w:rPr>
        <w:t xml:space="preserve"> d'</w:t>
      </w:r>
      <w:proofErr w:type="spellStart"/>
      <w:r w:rsidRPr="00976DEA">
        <w:rPr>
          <w:rFonts w:eastAsia="Times New Roman"/>
          <w:b/>
          <w:lang w:val="fr-FR"/>
        </w:rPr>
        <w:t>asta</w:t>
      </w:r>
      <w:proofErr w:type="spellEnd"/>
      <w:r w:rsidRPr="00976DEA">
        <w:rPr>
          <w:rFonts w:eastAsia="Times New Roman"/>
          <w:b/>
          <w:lang w:val="fr-FR"/>
        </w:rPr>
        <w:t xml:space="preserve"> e IVA</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lang w:val="fr-FR"/>
        </w:rPr>
        <w:t xml:space="preserve">Non è più </w:t>
      </w:r>
      <w:proofErr w:type="spellStart"/>
      <w:r w:rsidRPr="00976DEA">
        <w:rPr>
          <w:rFonts w:eastAsia="Times New Roman"/>
          <w:lang w:val="fr-FR"/>
        </w:rPr>
        <w:t>possibile</w:t>
      </w:r>
      <w:proofErr w:type="spellEnd"/>
      <w:r w:rsidRPr="00976DEA">
        <w:rPr>
          <w:rFonts w:eastAsia="Times New Roman"/>
          <w:lang w:val="fr-FR"/>
        </w:rPr>
        <w:t xml:space="preserve"> </w:t>
      </w:r>
      <w:proofErr w:type="spellStart"/>
      <w:r w:rsidRPr="00976DEA">
        <w:rPr>
          <w:rFonts w:eastAsia="Times New Roman"/>
          <w:lang w:val="fr-FR"/>
        </w:rPr>
        <w:t>inviare</w:t>
      </w:r>
      <w:proofErr w:type="spellEnd"/>
      <w:r w:rsidRPr="00976DEA">
        <w:rPr>
          <w:rFonts w:eastAsia="Times New Roman"/>
          <w:lang w:val="fr-FR"/>
        </w:rPr>
        <w:t xml:space="preserve"> un </w:t>
      </w:r>
      <w:proofErr w:type="spellStart"/>
      <w:r w:rsidRPr="00976DEA">
        <w:rPr>
          <w:rFonts w:eastAsia="Times New Roman"/>
          <w:lang w:val="fr-FR"/>
        </w:rPr>
        <w:t>mandato</w:t>
      </w:r>
      <w:proofErr w:type="spellEnd"/>
      <w:r w:rsidRPr="00976DEA">
        <w:rPr>
          <w:rFonts w:eastAsia="Times New Roman"/>
          <w:lang w:val="fr-FR"/>
        </w:rPr>
        <w:t xml:space="preserve"> di </w:t>
      </w:r>
      <w:proofErr w:type="spellStart"/>
      <w:r w:rsidRPr="00976DEA">
        <w:rPr>
          <w:rFonts w:eastAsia="Times New Roman"/>
          <w:lang w:val="fr-FR"/>
        </w:rPr>
        <w:t>acquisto</w:t>
      </w:r>
      <w:proofErr w:type="spellEnd"/>
      <w:r w:rsidRPr="00976DEA">
        <w:rPr>
          <w:rFonts w:eastAsia="Times New Roman"/>
          <w:lang w:val="fr-FR"/>
        </w:rPr>
        <w:t xml:space="preserve"> via Internet. </w:t>
      </w:r>
      <w:proofErr w:type="spellStart"/>
      <w:r w:rsidRPr="00976DEA">
        <w:rPr>
          <w:rFonts w:eastAsia="Times New Roman"/>
        </w:rPr>
        <w:t>L'asta</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in </w:t>
      </w:r>
      <w:proofErr w:type="spellStart"/>
      <w:r w:rsidRPr="00976DEA">
        <w:rPr>
          <w:rFonts w:eastAsia="Times New Roman"/>
        </w:rPr>
        <w:t>preparazione</w:t>
      </w:r>
      <w:proofErr w:type="spellEnd"/>
      <w:r w:rsidRPr="00976DEA">
        <w:rPr>
          <w:rFonts w:eastAsia="Times New Roman"/>
        </w:rPr>
        <w:t xml:space="preserve"> </w:t>
      </w:r>
      <w:proofErr w:type="spellStart"/>
      <w:r w:rsidRPr="00976DEA">
        <w:rPr>
          <w:rFonts w:eastAsia="Times New Roman"/>
        </w:rPr>
        <w:t>oppure</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w:t>
      </w:r>
      <w:proofErr w:type="spellStart"/>
      <w:r w:rsidRPr="00976DEA">
        <w:rPr>
          <w:rFonts w:eastAsia="Times New Roman"/>
        </w:rPr>
        <w:t>stata</w:t>
      </w:r>
      <w:proofErr w:type="spellEnd"/>
      <w:r w:rsidRPr="00976DEA">
        <w:rPr>
          <w:rFonts w:eastAsia="Times New Roman"/>
        </w:rPr>
        <w:t xml:space="preserve"> </w:t>
      </w:r>
      <w:proofErr w:type="spellStart"/>
      <w:r w:rsidRPr="00976DEA">
        <w:rPr>
          <w:rFonts w:eastAsia="Times New Roman"/>
        </w:rPr>
        <w:t>eseguita</w:t>
      </w:r>
      <w:proofErr w:type="spellEnd"/>
      <w:r w:rsidRPr="00976DEA">
        <w:rPr>
          <w:rFonts w:eastAsia="Times New Roman"/>
        </w:rPr>
        <w:t>.</w:t>
      </w:r>
    </w:p>
    <w:p w:rsidR="00976DEA" w:rsidRDefault="00976DEA"/>
    <w:sectPr w:rsidR="00976DE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59D"/>
    <w:multiLevelType w:val="multilevel"/>
    <w:tmpl w:val="BD1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584"/>
    <w:multiLevelType w:val="multilevel"/>
    <w:tmpl w:val="F150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EA"/>
    <w:rsid w:val="00000D95"/>
    <w:rsid w:val="00001276"/>
    <w:rsid w:val="0000162B"/>
    <w:rsid w:val="00001C7F"/>
    <w:rsid w:val="00002035"/>
    <w:rsid w:val="000027FF"/>
    <w:rsid w:val="000033C9"/>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3941"/>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2F8"/>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0230"/>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27551"/>
    <w:rsid w:val="0013010C"/>
    <w:rsid w:val="00130887"/>
    <w:rsid w:val="00130EBC"/>
    <w:rsid w:val="00131041"/>
    <w:rsid w:val="001317AF"/>
    <w:rsid w:val="00132363"/>
    <w:rsid w:val="00132AD9"/>
    <w:rsid w:val="00133449"/>
    <w:rsid w:val="00133AAD"/>
    <w:rsid w:val="00133B37"/>
    <w:rsid w:val="0013540D"/>
    <w:rsid w:val="0013584C"/>
    <w:rsid w:val="00135862"/>
    <w:rsid w:val="00137444"/>
    <w:rsid w:val="00137BE0"/>
    <w:rsid w:val="00140399"/>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6D1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61EC"/>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54B6"/>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4A2E"/>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0C45"/>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9ED"/>
    <w:rsid w:val="00284E82"/>
    <w:rsid w:val="00286913"/>
    <w:rsid w:val="00286E13"/>
    <w:rsid w:val="00287734"/>
    <w:rsid w:val="00290885"/>
    <w:rsid w:val="00291284"/>
    <w:rsid w:val="00291626"/>
    <w:rsid w:val="0029320E"/>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33B4"/>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413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4B54"/>
    <w:rsid w:val="003A50BC"/>
    <w:rsid w:val="003A55AF"/>
    <w:rsid w:val="003A7AEC"/>
    <w:rsid w:val="003B0283"/>
    <w:rsid w:val="003B11B7"/>
    <w:rsid w:val="003B1BBA"/>
    <w:rsid w:val="003B2962"/>
    <w:rsid w:val="003B2EA8"/>
    <w:rsid w:val="003B6298"/>
    <w:rsid w:val="003B63AA"/>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9CA"/>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5D16"/>
    <w:rsid w:val="00466190"/>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24FB"/>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477"/>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3FDA"/>
    <w:rsid w:val="004F61B2"/>
    <w:rsid w:val="004F65EE"/>
    <w:rsid w:val="004F6CFA"/>
    <w:rsid w:val="004F7A42"/>
    <w:rsid w:val="00500BC1"/>
    <w:rsid w:val="00502CB4"/>
    <w:rsid w:val="00505196"/>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B4B"/>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2D61"/>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0D89"/>
    <w:rsid w:val="007116AD"/>
    <w:rsid w:val="007116E7"/>
    <w:rsid w:val="00712BB4"/>
    <w:rsid w:val="00712E6F"/>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67937"/>
    <w:rsid w:val="007708F7"/>
    <w:rsid w:val="00770E4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BB8"/>
    <w:rsid w:val="00786E17"/>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E5764"/>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2C9"/>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1D88"/>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3FE"/>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13D3"/>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6DEA"/>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1C6"/>
    <w:rsid w:val="00995647"/>
    <w:rsid w:val="0099638E"/>
    <w:rsid w:val="009A0091"/>
    <w:rsid w:val="009A0C7D"/>
    <w:rsid w:val="009A0C96"/>
    <w:rsid w:val="009A165A"/>
    <w:rsid w:val="009A47E8"/>
    <w:rsid w:val="009A4DCE"/>
    <w:rsid w:val="009A59D9"/>
    <w:rsid w:val="009A656A"/>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3651"/>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6DF3"/>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4805"/>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2EF3"/>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1D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2F5"/>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1B16"/>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2722"/>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0B31"/>
    <w:rsid w:val="00F31B93"/>
    <w:rsid w:val="00F322A6"/>
    <w:rsid w:val="00F344EF"/>
    <w:rsid w:val="00F379D0"/>
    <w:rsid w:val="00F40CC6"/>
    <w:rsid w:val="00F41713"/>
    <w:rsid w:val="00F41C0A"/>
    <w:rsid w:val="00F42F0E"/>
    <w:rsid w:val="00F436D7"/>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5A0D"/>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341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0A5"/>
  <w15:chartTrackingRefBased/>
  <w15:docId w15:val="{CA97D642-725D-4D08-890B-3BDDD3C0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976DEA"/>
    <w:pPr>
      <w:spacing w:before="100" w:beforeAutospacing="1" w:after="100" w:afterAutospacing="1" w:line="240" w:lineRule="auto"/>
      <w:outlineLvl w:val="0"/>
    </w:pPr>
    <w:rPr>
      <w:rFonts w:eastAsia="Times New Roman"/>
      <w:b/>
      <w:kern w:val="36"/>
      <w:sz w:val="48"/>
      <w:szCs w:val="48"/>
    </w:rPr>
  </w:style>
  <w:style w:type="paragraph" w:styleId="Heading4">
    <w:name w:val="heading 4"/>
    <w:basedOn w:val="Normal"/>
    <w:link w:val="Heading4Char"/>
    <w:uiPriority w:val="9"/>
    <w:qFormat/>
    <w:rsid w:val="00976DEA"/>
    <w:pPr>
      <w:spacing w:before="100" w:beforeAutospacing="1" w:after="100" w:afterAutospacing="1" w:line="240" w:lineRule="auto"/>
      <w:outlineLvl w:val="3"/>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1Char">
    <w:name w:val="Heading 1 Char"/>
    <w:basedOn w:val="DefaultParagraphFont"/>
    <w:link w:val="Heading1"/>
    <w:uiPriority w:val="9"/>
    <w:rsid w:val="00976DEA"/>
    <w:rPr>
      <w:rFonts w:eastAsia="Times New Roman"/>
      <w:b/>
      <w:kern w:val="36"/>
      <w:sz w:val="48"/>
      <w:szCs w:val="48"/>
    </w:rPr>
  </w:style>
  <w:style w:type="character" w:customStyle="1" w:styleId="Heading4Char">
    <w:name w:val="Heading 4 Char"/>
    <w:basedOn w:val="DefaultParagraphFont"/>
    <w:link w:val="Heading4"/>
    <w:uiPriority w:val="9"/>
    <w:rsid w:val="00976DEA"/>
    <w:rPr>
      <w:rFonts w:eastAsia="Times New Roman"/>
      <w:b/>
    </w:rPr>
  </w:style>
  <w:style w:type="character" w:styleId="Hyperlink">
    <w:name w:val="Hyperlink"/>
    <w:basedOn w:val="DefaultParagraphFont"/>
    <w:uiPriority w:val="99"/>
    <w:semiHidden/>
    <w:unhideWhenUsed/>
    <w:rsid w:val="00976DEA"/>
    <w:rPr>
      <w:color w:val="0000FF"/>
      <w:u w:val="single"/>
    </w:rPr>
  </w:style>
  <w:style w:type="paragraph" w:styleId="NormalWeb">
    <w:name w:val="Normal (Web)"/>
    <w:basedOn w:val="Normal"/>
    <w:uiPriority w:val="99"/>
    <w:semiHidden/>
    <w:unhideWhenUsed/>
    <w:rsid w:val="00976DEA"/>
    <w:pPr>
      <w:spacing w:before="100" w:beforeAutospacing="1" w:after="100" w:afterAutospacing="1" w:line="240" w:lineRule="auto"/>
    </w:pPr>
    <w:rPr>
      <w:rFonts w:eastAsia="Times New Roman"/>
      <w:bCs/>
    </w:rPr>
  </w:style>
  <w:style w:type="character" w:customStyle="1" w:styleId="anhang">
    <w:name w:val="anhang"/>
    <w:basedOn w:val="DefaultParagraphFont"/>
    <w:rsid w:val="00976DEA"/>
  </w:style>
  <w:style w:type="character" w:customStyle="1" w:styleId="price-currency">
    <w:name w:val="price-currency"/>
    <w:basedOn w:val="DefaultParagraphFont"/>
    <w:rsid w:val="00976DEA"/>
  </w:style>
  <w:style w:type="character" w:customStyle="1" w:styleId="lot-detail--hotline--label">
    <w:name w:val="lot-detail--hotline--label"/>
    <w:basedOn w:val="DefaultParagraphFont"/>
    <w:rsid w:val="00976DEA"/>
  </w:style>
  <w:style w:type="character" w:styleId="Strong">
    <w:name w:val="Strong"/>
    <w:basedOn w:val="DefaultParagraphFont"/>
    <w:qFormat/>
    <w:rsid w:val="00976DEA"/>
    <w:rPr>
      <w:b/>
      <w:bCs/>
    </w:rPr>
  </w:style>
  <w:style w:type="paragraph" w:styleId="ListParagraph">
    <w:name w:val="List Paragraph"/>
    <w:basedOn w:val="Normal"/>
    <w:uiPriority w:val="34"/>
    <w:qFormat/>
    <w:rsid w:val="00976DEA"/>
    <w:pPr>
      <w:ind w:left="720"/>
      <w:contextualSpacing/>
    </w:pPr>
  </w:style>
  <w:style w:type="character" w:customStyle="1" w:styleId="shorttext">
    <w:name w:val="short_text"/>
    <w:basedOn w:val="DefaultParagraphFont"/>
    <w:rsid w:val="0071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66726">
      <w:bodyDiv w:val="1"/>
      <w:marLeft w:val="0"/>
      <w:marRight w:val="0"/>
      <w:marTop w:val="0"/>
      <w:marBottom w:val="0"/>
      <w:divBdr>
        <w:top w:val="none" w:sz="0" w:space="0" w:color="auto"/>
        <w:left w:val="none" w:sz="0" w:space="0" w:color="auto"/>
        <w:bottom w:val="none" w:sz="0" w:space="0" w:color="auto"/>
        <w:right w:val="none" w:sz="0" w:space="0" w:color="auto"/>
      </w:divBdr>
      <w:divsChild>
        <w:div w:id="1829906542">
          <w:marLeft w:val="0"/>
          <w:marRight w:val="0"/>
          <w:marTop w:val="0"/>
          <w:marBottom w:val="0"/>
          <w:divBdr>
            <w:top w:val="none" w:sz="0" w:space="0" w:color="auto"/>
            <w:left w:val="none" w:sz="0" w:space="0" w:color="auto"/>
            <w:bottom w:val="none" w:sz="0" w:space="0" w:color="auto"/>
            <w:right w:val="none" w:sz="0" w:space="0" w:color="auto"/>
          </w:divBdr>
          <w:divsChild>
            <w:div w:id="594552904">
              <w:marLeft w:val="0"/>
              <w:marRight w:val="0"/>
              <w:marTop w:val="0"/>
              <w:marBottom w:val="0"/>
              <w:divBdr>
                <w:top w:val="none" w:sz="0" w:space="0" w:color="auto"/>
                <w:left w:val="none" w:sz="0" w:space="0" w:color="auto"/>
                <w:bottom w:val="none" w:sz="0" w:space="0" w:color="auto"/>
                <w:right w:val="none" w:sz="0" w:space="0" w:color="auto"/>
              </w:divBdr>
              <w:divsChild>
                <w:div w:id="2107846393">
                  <w:marLeft w:val="0"/>
                  <w:marRight w:val="0"/>
                  <w:marTop w:val="0"/>
                  <w:marBottom w:val="0"/>
                  <w:divBdr>
                    <w:top w:val="none" w:sz="0" w:space="0" w:color="auto"/>
                    <w:left w:val="none" w:sz="0" w:space="0" w:color="auto"/>
                    <w:bottom w:val="none" w:sz="0" w:space="0" w:color="auto"/>
                    <w:right w:val="none" w:sz="0" w:space="0" w:color="auto"/>
                  </w:divBdr>
                  <w:divsChild>
                    <w:div w:id="380784932">
                      <w:marLeft w:val="0"/>
                      <w:marRight w:val="0"/>
                      <w:marTop w:val="0"/>
                      <w:marBottom w:val="0"/>
                      <w:divBdr>
                        <w:top w:val="none" w:sz="0" w:space="0" w:color="auto"/>
                        <w:left w:val="none" w:sz="0" w:space="0" w:color="auto"/>
                        <w:bottom w:val="none" w:sz="0" w:space="0" w:color="auto"/>
                        <w:right w:val="none" w:sz="0" w:space="0" w:color="auto"/>
                      </w:divBdr>
                      <w:divsChild>
                        <w:div w:id="6374198">
                          <w:marLeft w:val="0"/>
                          <w:marRight w:val="0"/>
                          <w:marTop w:val="0"/>
                          <w:marBottom w:val="0"/>
                          <w:divBdr>
                            <w:top w:val="none" w:sz="0" w:space="0" w:color="auto"/>
                            <w:left w:val="none" w:sz="0" w:space="0" w:color="auto"/>
                            <w:bottom w:val="none" w:sz="0" w:space="0" w:color="auto"/>
                            <w:right w:val="none" w:sz="0" w:space="0" w:color="auto"/>
                          </w:divBdr>
                        </w:div>
                      </w:divsChild>
                    </w:div>
                    <w:div w:id="2009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299">
              <w:marLeft w:val="0"/>
              <w:marRight w:val="0"/>
              <w:marTop w:val="0"/>
              <w:marBottom w:val="0"/>
              <w:divBdr>
                <w:top w:val="none" w:sz="0" w:space="0" w:color="auto"/>
                <w:left w:val="none" w:sz="0" w:space="0" w:color="auto"/>
                <w:bottom w:val="none" w:sz="0" w:space="0" w:color="auto"/>
                <w:right w:val="none" w:sz="0" w:space="0" w:color="auto"/>
              </w:divBdr>
              <w:divsChild>
                <w:div w:id="771435489">
                  <w:marLeft w:val="0"/>
                  <w:marRight w:val="0"/>
                  <w:marTop w:val="0"/>
                  <w:marBottom w:val="0"/>
                  <w:divBdr>
                    <w:top w:val="none" w:sz="0" w:space="0" w:color="auto"/>
                    <w:left w:val="none" w:sz="0" w:space="0" w:color="auto"/>
                    <w:bottom w:val="none" w:sz="0" w:space="0" w:color="auto"/>
                    <w:right w:val="none" w:sz="0" w:space="0" w:color="auto"/>
                  </w:divBdr>
                  <w:divsChild>
                    <w:div w:id="1743285963">
                      <w:marLeft w:val="0"/>
                      <w:marRight w:val="0"/>
                      <w:marTop w:val="0"/>
                      <w:marBottom w:val="0"/>
                      <w:divBdr>
                        <w:top w:val="none" w:sz="0" w:space="0" w:color="auto"/>
                        <w:left w:val="none" w:sz="0" w:space="0" w:color="auto"/>
                        <w:bottom w:val="none" w:sz="0" w:space="0" w:color="auto"/>
                        <w:right w:val="none" w:sz="0" w:space="0" w:color="auto"/>
                      </w:divBdr>
                    </w:div>
                    <w:div w:id="202445071">
                      <w:marLeft w:val="0"/>
                      <w:marRight w:val="0"/>
                      <w:marTop w:val="0"/>
                      <w:marBottom w:val="0"/>
                      <w:divBdr>
                        <w:top w:val="none" w:sz="0" w:space="0" w:color="auto"/>
                        <w:left w:val="none" w:sz="0" w:space="0" w:color="auto"/>
                        <w:bottom w:val="none" w:sz="0" w:space="0" w:color="auto"/>
                        <w:right w:val="none" w:sz="0" w:space="0" w:color="auto"/>
                      </w:divBdr>
                    </w:div>
                    <w:div w:id="1595019729">
                      <w:marLeft w:val="0"/>
                      <w:marRight w:val="0"/>
                      <w:marTop w:val="0"/>
                      <w:marBottom w:val="0"/>
                      <w:divBdr>
                        <w:top w:val="none" w:sz="0" w:space="0" w:color="auto"/>
                        <w:left w:val="none" w:sz="0" w:space="0" w:color="auto"/>
                        <w:bottom w:val="none" w:sz="0" w:space="0" w:color="auto"/>
                        <w:right w:val="none" w:sz="0" w:space="0" w:color="auto"/>
                      </w:divBdr>
                      <w:divsChild>
                        <w:div w:id="529681186">
                          <w:marLeft w:val="0"/>
                          <w:marRight w:val="0"/>
                          <w:marTop w:val="0"/>
                          <w:marBottom w:val="0"/>
                          <w:divBdr>
                            <w:top w:val="none" w:sz="0" w:space="0" w:color="auto"/>
                            <w:left w:val="none" w:sz="0" w:space="0" w:color="auto"/>
                            <w:bottom w:val="none" w:sz="0" w:space="0" w:color="auto"/>
                            <w:right w:val="none" w:sz="0" w:space="0" w:color="auto"/>
                          </w:divBdr>
                        </w:div>
                        <w:div w:id="1835220379">
                          <w:marLeft w:val="0"/>
                          <w:marRight w:val="0"/>
                          <w:marTop w:val="0"/>
                          <w:marBottom w:val="0"/>
                          <w:divBdr>
                            <w:top w:val="none" w:sz="0" w:space="0" w:color="auto"/>
                            <w:left w:val="none" w:sz="0" w:space="0" w:color="auto"/>
                            <w:bottom w:val="none" w:sz="0" w:space="0" w:color="auto"/>
                            <w:right w:val="none" w:sz="0" w:space="0" w:color="auto"/>
                          </w:divBdr>
                        </w:div>
                        <w:div w:id="2020036353">
                          <w:marLeft w:val="0"/>
                          <w:marRight w:val="0"/>
                          <w:marTop w:val="0"/>
                          <w:marBottom w:val="0"/>
                          <w:divBdr>
                            <w:top w:val="none" w:sz="0" w:space="0" w:color="auto"/>
                            <w:left w:val="none" w:sz="0" w:space="0" w:color="auto"/>
                            <w:bottom w:val="none" w:sz="0" w:space="0" w:color="auto"/>
                            <w:right w:val="none" w:sz="0" w:space="0" w:color="auto"/>
                          </w:divBdr>
                        </w:div>
                        <w:div w:id="1793479103">
                          <w:marLeft w:val="0"/>
                          <w:marRight w:val="0"/>
                          <w:marTop w:val="0"/>
                          <w:marBottom w:val="0"/>
                          <w:divBdr>
                            <w:top w:val="none" w:sz="0" w:space="0" w:color="auto"/>
                            <w:left w:val="none" w:sz="0" w:space="0" w:color="auto"/>
                            <w:bottom w:val="none" w:sz="0" w:space="0" w:color="auto"/>
                            <w:right w:val="none" w:sz="0" w:space="0" w:color="auto"/>
                          </w:divBdr>
                        </w:div>
                        <w:div w:id="588733835">
                          <w:marLeft w:val="0"/>
                          <w:marRight w:val="0"/>
                          <w:marTop w:val="0"/>
                          <w:marBottom w:val="0"/>
                          <w:divBdr>
                            <w:top w:val="none" w:sz="0" w:space="0" w:color="auto"/>
                            <w:left w:val="none" w:sz="0" w:space="0" w:color="auto"/>
                            <w:bottom w:val="none" w:sz="0" w:space="0" w:color="auto"/>
                            <w:right w:val="none" w:sz="0" w:space="0" w:color="auto"/>
                          </w:divBdr>
                        </w:div>
                        <w:div w:id="1279878090">
                          <w:marLeft w:val="0"/>
                          <w:marRight w:val="0"/>
                          <w:marTop w:val="0"/>
                          <w:marBottom w:val="0"/>
                          <w:divBdr>
                            <w:top w:val="none" w:sz="0" w:space="0" w:color="auto"/>
                            <w:left w:val="none" w:sz="0" w:space="0" w:color="auto"/>
                            <w:bottom w:val="none" w:sz="0" w:space="0" w:color="auto"/>
                            <w:right w:val="none" w:sz="0" w:space="0" w:color="auto"/>
                          </w:divBdr>
                        </w:div>
                      </w:divsChild>
                    </w:div>
                    <w:div w:id="1977178628">
                      <w:marLeft w:val="0"/>
                      <w:marRight w:val="0"/>
                      <w:marTop w:val="0"/>
                      <w:marBottom w:val="0"/>
                      <w:divBdr>
                        <w:top w:val="none" w:sz="0" w:space="0" w:color="auto"/>
                        <w:left w:val="none" w:sz="0" w:space="0" w:color="auto"/>
                        <w:bottom w:val="none" w:sz="0" w:space="0" w:color="auto"/>
                        <w:right w:val="none" w:sz="0" w:space="0" w:color="auto"/>
                      </w:divBdr>
                      <w:divsChild>
                        <w:div w:id="876741445">
                          <w:marLeft w:val="0"/>
                          <w:marRight w:val="0"/>
                          <w:marTop w:val="0"/>
                          <w:marBottom w:val="0"/>
                          <w:divBdr>
                            <w:top w:val="none" w:sz="0" w:space="0" w:color="auto"/>
                            <w:left w:val="none" w:sz="0" w:space="0" w:color="auto"/>
                            <w:bottom w:val="none" w:sz="0" w:space="0" w:color="auto"/>
                            <w:right w:val="none" w:sz="0" w:space="0" w:color="auto"/>
                          </w:divBdr>
                          <w:divsChild>
                            <w:div w:id="882449908">
                              <w:marLeft w:val="0"/>
                              <w:marRight w:val="0"/>
                              <w:marTop w:val="0"/>
                              <w:marBottom w:val="0"/>
                              <w:divBdr>
                                <w:top w:val="none" w:sz="0" w:space="0" w:color="auto"/>
                                <w:left w:val="none" w:sz="0" w:space="0" w:color="auto"/>
                                <w:bottom w:val="none" w:sz="0" w:space="0" w:color="auto"/>
                                <w:right w:val="none" w:sz="0" w:space="0" w:color="auto"/>
                              </w:divBdr>
                              <w:divsChild>
                                <w:div w:id="3440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6242">
                      <w:marLeft w:val="0"/>
                      <w:marRight w:val="0"/>
                      <w:marTop w:val="0"/>
                      <w:marBottom w:val="0"/>
                      <w:divBdr>
                        <w:top w:val="none" w:sz="0" w:space="0" w:color="auto"/>
                        <w:left w:val="none" w:sz="0" w:space="0" w:color="auto"/>
                        <w:bottom w:val="none" w:sz="0" w:space="0" w:color="auto"/>
                        <w:right w:val="none" w:sz="0" w:space="0" w:color="auto"/>
                      </w:divBdr>
                      <w:divsChild>
                        <w:div w:id="1640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rotheum.com/it/aste/prossime-aste/kataloge/list-lots-detail/auktion/11207-arte-asiatica/lotID/32/lot/1890485-seltenes-huf-oder-rohrenformiges-ornament-aus-gruner-jade.html?currentPage=1&amp;img=2" TargetMode="External"/><Relationship Id="rId13" Type="http://schemas.openxmlformats.org/officeDocument/2006/relationships/hyperlink" Target="http://www.harvardartmuseums.org/collections/object/204580?position=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asia.si.edu/collections/edan/object.cfm?q=fsg_S1987.626" TargetMode="External"/><Relationship Id="rId17" Type="http://schemas.openxmlformats.org/officeDocument/2006/relationships/hyperlink" Target="https://www.dorotheum.com/it/apropositodi/succursali/vienna-palais-dorotheum.html" TargetMode="External"/><Relationship Id="rId2" Type="http://schemas.openxmlformats.org/officeDocument/2006/relationships/styles" Target="styles.xml"/><Relationship Id="rId16" Type="http://schemas.openxmlformats.org/officeDocument/2006/relationships/hyperlink" Target="https://www.dorotheum.com/it/aste/prossime-aste/kataloge/list-lots/auktion/11207-arte-asiatica.html" TargetMode="External"/><Relationship Id="rId1" Type="http://schemas.openxmlformats.org/officeDocument/2006/relationships/numbering" Target="numbering.xml"/><Relationship Id="rId6" Type="http://schemas.openxmlformats.org/officeDocument/2006/relationships/hyperlink" Target="https://www.dorotheum.com/it/aste/prossime-aste/kataloge/list-lots-detail/auktion/11207-arte-asiatica/lotID/32/lot/1890485-seltenes-huf-oder-rohrenformiges-ornament-aus-gruner-jade.html?currentPage=1&amp;img=1" TargetMode="External"/><Relationship Id="rId11" Type="http://schemas.openxmlformats.org/officeDocument/2006/relationships/hyperlink" Target="http://www.asia.si.edu/collections/edan/object.cfm?q=fsg_S1987.842" TargetMode="External"/><Relationship Id="rId5" Type="http://schemas.openxmlformats.org/officeDocument/2006/relationships/image" Target="media/image1.jpeg"/><Relationship Id="rId15" Type="http://schemas.openxmlformats.org/officeDocument/2006/relationships/hyperlink" Target="mailto:angelika.borchert@dorotheum.at" TargetMode="External"/><Relationship Id="rId10" Type="http://schemas.openxmlformats.org/officeDocument/2006/relationships/hyperlink" Target="https://www.dorotheum.com/it/aste/prossime-aste/kataloge/list-lots-detail/auktion/11207-arte-asiatica/lotID/32/lot/1890485-seltenes-huf-oder-rohrenformiges-ornament-aus-gruner-jade.html?currentPage=1&amp;img=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archcollection.asianart.org/view/objects/asitem/nid/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2018-12-19T20:30:00Z</dcterms:created>
  <dcterms:modified xsi:type="dcterms:W3CDTF">2018-12-19T20:30:00Z</dcterms:modified>
</cp:coreProperties>
</file>