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577F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A000-Asia-Thailand-Ban Chiang-Bangle-Shell-3600 BCE</w:t>
      </w:r>
    </w:p>
    <w:p w14:paraId="30877A81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2F9EFF39" wp14:editId="01B1F2B8">
            <wp:extent cx="4466590" cy="318579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2" r="-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78C2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Fig. 1. Thailand-Ban Chiang-Bangle-Shell-3600 BCE</w:t>
      </w:r>
    </w:p>
    <w:p w14:paraId="60EC98C5" w14:textId="519590CE" w:rsidR="007D17B9" w:rsidRDefault="005A460A">
      <w:r>
        <w:rPr>
          <w:rStyle w:val="StrongEmphasis"/>
          <w:rFonts w:ascii="Times New Roman" w:hAnsi="Times New Roman" w:cs="Times New Roman"/>
          <w:sz w:val="24"/>
          <w:szCs w:val="24"/>
        </w:rPr>
        <w:t>Case no.:5</w:t>
      </w:r>
      <w:bookmarkStart w:id="0" w:name="_GoBack"/>
      <w:bookmarkEnd w:id="0"/>
    </w:p>
    <w:p w14:paraId="6FADA5CA" w14:textId="77777777" w:rsidR="007D17B9" w:rsidRDefault="005A460A">
      <w:r>
        <w:rPr>
          <w:rStyle w:val="StrongEmphasis"/>
          <w:rFonts w:ascii="Times New Roman" w:hAnsi="Times New Roman" w:cs="Times New Roman"/>
          <w:sz w:val="24"/>
          <w:szCs w:val="24"/>
        </w:rPr>
        <w:t>Accession Number:</w:t>
      </w:r>
    </w:p>
    <w:p w14:paraId="73BE299F" w14:textId="77777777" w:rsidR="007D17B9" w:rsidRDefault="005A460A">
      <w:pPr>
        <w:rPr>
          <w:rStyle w:val="StrongEmphasis"/>
          <w:rFonts w:ascii="Times New Roman" w:hAnsi="Times New Roman" w:cs="Times New Roman"/>
          <w:sz w:val="24"/>
          <w:szCs w:val="24"/>
        </w:rPr>
      </w:pPr>
      <w:r>
        <w:rPr>
          <w:rStyle w:val="StrongEmphasis"/>
          <w:rFonts w:ascii="Times New Roman" w:hAnsi="Times New Roman" w:cs="Times New Roman"/>
          <w:sz w:val="24"/>
          <w:szCs w:val="24"/>
        </w:rPr>
        <w:t xml:space="preserve">Formal Label: </w:t>
      </w:r>
      <w:r>
        <w:rPr>
          <w:rFonts w:ascii="Times New Roman" w:hAnsi="Times New Roman" w:cs="Times New Roman"/>
          <w:b w:val="0"/>
          <w:sz w:val="24"/>
          <w:szCs w:val="24"/>
        </w:rPr>
        <w:t>Thailand-Ban Chiang-Bangle-Shell-3600 BCE</w:t>
      </w:r>
    </w:p>
    <w:p w14:paraId="614FA0B0" w14:textId="77777777" w:rsidR="007D17B9" w:rsidRDefault="005A460A">
      <w:r>
        <w:rPr>
          <w:rFonts w:ascii="Times New Roman" w:hAnsi="Times New Roman" w:cs="Times New Roman"/>
          <w:b w:val="0"/>
          <w:sz w:val="24"/>
          <w:szCs w:val="24"/>
        </w:rPr>
        <w:t>Case no.:</w:t>
      </w:r>
    </w:p>
    <w:p w14:paraId="46D45761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Accession Number:</w:t>
      </w:r>
    </w:p>
    <w:p w14:paraId="5B28FD1A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Formal Label: Thailand-Ban Chiang-Bangle-Shell-3600 BCE </w:t>
      </w:r>
    </w:p>
    <w:p w14:paraId="4E82B89E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Display Description: This Ban Chiang shell bangle may date to the earliest graves c 2100 BCE, before the smelting of bronze, since crucibles and bronze fragments do not show up in the archaeological </w:t>
      </w:r>
      <w:r>
        <w:rPr>
          <w:rFonts w:ascii="Times New Roman" w:hAnsi="Times New Roman" w:cs="Times New Roman"/>
          <w:b w:val="0"/>
          <w:sz w:val="24"/>
          <w:szCs w:val="24"/>
        </w:rPr>
        <w:t>record until 2000 BCE</w:t>
      </w:r>
    </w:p>
    <w:p w14:paraId="07F16E01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LC Classification: DS589.B17</w:t>
      </w:r>
    </w:p>
    <w:p w14:paraId="5415BF5B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Date or Time Horizon: 300 BCE-300 CE</w:t>
      </w:r>
    </w:p>
    <w:p w14:paraId="615AD93A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Geographical Area: Ban Chiang,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Udon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Thani, Thailand</w:t>
      </w:r>
    </w:p>
    <w:p w14:paraId="754C77BC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Map: </w:t>
      </w:r>
    </w:p>
    <w:p w14:paraId="119A5632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22B93B7C" wp14:editId="372BD832">
            <wp:extent cx="4092575" cy="27012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90B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Fig. 4. Ban Chiang is near Vientiane</w:t>
      </w:r>
    </w:p>
    <w:p w14:paraId="5D6FC3A1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w:drawing>
          <wp:inline distT="0" distB="0" distL="0" distR="0" wp14:anchorId="2811BFF8" wp14:editId="4BFE63B6">
            <wp:extent cx="4291330" cy="285877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243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Fig. 6. Detail of Ban Chiang location</w:t>
      </w:r>
    </w:p>
    <w:p w14:paraId="53E4F7F5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GPS coordinates: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17°24′25″N 103°14′29″E</w:t>
        </w:r>
      </w:hyperlink>
    </w:p>
    <w:p w14:paraId="1209671F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Cultural Affiliation: Ban Chiang </w:t>
      </w:r>
    </w:p>
    <w:p w14:paraId="0DC5C012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Medium: Clay</w:t>
      </w:r>
    </w:p>
    <w:p w14:paraId="766621AA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Dimensions: 14 cm at widest and 14.5 cm high</w:t>
      </w:r>
    </w:p>
    <w:p w14:paraId="472680A0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Weight:  660 gm</w:t>
      </w:r>
    </w:p>
    <w:p w14:paraId="2B215C5C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Condition: original</w:t>
      </w:r>
    </w:p>
    <w:p w14:paraId="39E0EDEB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Provenance: Thailand</w:t>
      </w:r>
    </w:p>
    <w:p w14:paraId="05142891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Discussion:</w:t>
      </w:r>
    </w:p>
    <w:p w14:paraId="7164EE22" w14:textId="77777777" w:rsidR="007D17B9" w:rsidRDefault="005A460A">
      <w:r>
        <w:rPr>
          <w:rFonts w:ascii="Times New Roman" w:hAnsi="Times New Roman" w:cs="Times New Roman"/>
          <w:b w:val="0"/>
          <w:sz w:val="24"/>
          <w:szCs w:val="24"/>
        </w:rPr>
        <w:t xml:space="preserve">A date of 2100 BCE was obtained from rice phytoliths from inside a grave vessel of the lowest grave. A dating program for this site has involved dating the bones from the people who lived at Ban Chiang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and the bones of animals interred with them. The resulting determinations have been analyzed using the Bayesian statistic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OxCal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4.0, and the results suggested that the initial settlement of Ban Chiang took place by about 1500 BCE, with the transition to th</w:t>
      </w:r>
      <w:r>
        <w:rPr>
          <w:rFonts w:ascii="Times New Roman" w:hAnsi="Times New Roman" w:cs="Times New Roman"/>
          <w:b w:val="0"/>
          <w:sz w:val="24"/>
          <w:szCs w:val="24"/>
        </w:rPr>
        <w:t>e Bronze Age about 1000 BCE.</w:t>
      </w:r>
    </w:p>
    <w:p w14:paraId="481075AD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References:</w:t>
      </w:r>
    </w:p>
    <w:p w14:paraId="3A7F5A45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42B6DC89" w14:textId="77777777" w:rsidR="007D17B9" w:rsidRDefault="005A460A"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, Charles. 1998.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Prehistoric Thailand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River Books; 1st Edition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C375AF1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72A8D452" w14:textId="77777777" w:rsidR="007D17B9" w:rsidRDefault="005A460A"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C.F.W. and T.F.G.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2009. “A new chronological framework for prehistoric Southeast Asia, based on a Bayesian model from Ban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Non Wat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,”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Antiquity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82:1-20. </w:t>
      </w:r>
    </w:p>
    <w:p w14:paraId="51E648E5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0A8763D1" w14:textId="77777777" w:rsidR="007D17B9" w:rsidRDefault="005A460A"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C.F.W. 2011. The Bronze Age of Southeast Asia: new insight on social change from B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an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Non Wat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Cambridge Archaeological Journal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21(3): 365-89 </w:t>
      </w:r>
    </w:p>
    <w:p w14:paraId="070D0E9D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1AF64DAB" w14:textId="77777777" w:rsidR="007D17B9" w:rsidRDefault="005A460A"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C.F.W., R.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Ciarla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, T.F.G.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, A.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Kijngam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and F.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Rispoli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. 2011. “The establishment of the Bronze Age in Southeast Asia,”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Journal of World Prehistory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24 (4),227-274: </w:t>
      </w:r>
    </w:p>
    <w:p w14:paraId="760E482C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1CF3C2E3" w14:textId="77777777" w:rsidR="007D17B9" w:rsidRDefault="005A460A"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C.F.W., T.F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.G.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Higham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and A.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Kijngam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. 2011. “Cutting a Gordian Knot: The Bronze Age of Southeast Asia, timing, origins and impact,”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Antiquity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85:583-98. </w:t>
      </w:r>
    </w:p>
    <w:p w14:paraId="4E883E87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5BD3A67F" w14:textId="77777777" w:rsidR="007D17B9" w:rsidRDefault="005A460A">
      <w:pPr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Pietrusewsky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, Michael; Douglas, Michele T. (Michele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Toomay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) 2001. "Intensification of Agriculture at Ban Chiang: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Is There Evidence from the Skeletons?"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Asian Perspectives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40 (2): 157–178.</w:t>
      </w:r>
    </w:p>
    <w:p w14:paraId="61A72DBA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65921F5F" w14:textId="77777777" w:rsidR="007D17B9" w:rsidRDefault="005A460A">
      <w:r>
        <w:rPr>
          <w:rFonts w:ascii="Times New Roman" w:hAnsi="Times New Roman" w:cs="Times New Roman"/>
          <w:b w:val="0"/>
          <w:sz w:val="24"/>
          <w:szCs w:val="24"/>
        </w:rPr>
        <w:t xml:space="preserve">White, J.C. and Hamilton, E. G. 2009. “The Transmission of Early Bronze Technology to Thailand: New Perspectives,”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World Prehistory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22: 357–397 </w:t>
      </w:r>
    </w:p>
    <w:p w14:paraId="31CA6172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3C091567" w14:textId="77777777" w:rsidR="007D17B9" w:rsidRDefault="005A460A">
      <w:r>
        <w:rPr>
          <w:rFonts w:ascii="Times New Roman" w:hAnsi="Times New Roman" w:cs="Times New Roman"/>
          <w:b w:val="0"/>
          <w:sz w:val="24"/>
          <w:szCs w:val="24"/>
        </w:rPr>
        <w:lastRenderedPageBreak/>
        <w:t>White, J.C. 2008 “Dating Early Br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onze at Ban Chiang, Thailand.” In </w:t>
      </w:r>
      <w:proofErr w:type="gramStart"/>
      <w:r>
        <w:rPr>
          <w:rFonts w:ascii="Times New Roman" w:hAnsi="Times New Roman" w:cs="Times New Roman"/>
          <w:b w:val="0"/>
          <w:i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 w:val="0"/>
          <w:i/>
          <w:sz w:val="24"/>
          <w:szCs w:val="24"/>
        </w:rPr>
        <w:t xml:space="preserve"> Homo erectus to the Living Traditions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fr-FR"/>
        </w:rPr>
        <w:t>Pautreau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fr-FR"/>
        </w:rPr>
        <w:t xml:space="preserve">,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  <w:lang w:val="fr-FR"/>
        </w:rPr>
        <w:t>J.-P.;</w:t>
      </w:r>
      <w:proofErr w:type="gramEnd"/>
      <w:r>
        <w:rPr>
          <w:rFonts w:ascii="Times New Roman" w:hAnsi="Times New Roman" w:cs="Times New Roman"/>
          <w:b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fr-FR"/>
        </w:rPr>
        <w:t>Coupey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fr-FR"/>
        </w:rPr>
        <w:t xml:space="preserve">, A.-S.; Zeitoun, V.;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fr-FR"/>
        </w:rPr>
        <w:t>Rambault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fr-FR"/>
        </w:rPr>
        <w:t xml:space="preserve">, E., editors.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European Association of Southeast Asian Archaeologists, Chiang Mai, pp. 91-104. </w:t>
      </w:r>
    </w:p>
    <w:p w14:paraId="4386D2BB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p w14:paraId="264F2042" w14:textId="77777777" w:rsidR="007D17B9" w:rsidRDefault="005A460A">
      <w:r>
        <w:rPr>
          <w:rFonts w:ascii="Times New Roman" w:hAnsi="Times New Roman" w:cs="Times New Roman"/>
          <w:b w:val="0"/>
          <w:sz w:val="24"/>
          <w:szCs w:val="24"/>
        </w:rPr>
        <w:t>White, J. C. 1995. “Incorpor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ating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Heterarchy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into Theory on Socio</w:t>
      </w:r>
      <w:r>
        <w:rPr>
          <w:rFonts w:ascii="Cambria Math" w:hAnsi="Cambria Math" w:cs="Cambria Math"/>
          <w:b w:val="0"/>
          <w:sz w:val="24"/>
          <w:szCs w:val="24"/>
        </w:rPr>
        <w:t>‐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political Development: The Case from Southeast Asia,”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Archeological Papers of the American Anthropological Association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, 6(1), 101-123. </w:t>
      </w:r>
    </w:p>
    <w:p w14:paraId="44955307" w14:textId="77777777" w:rsidR="007D17B9" w:rsidRDefault="007D17B9">
      <w:pPr>
        <w:rPr>
          <w:rFonts w:ascii="Times New Roman" w:hAnsi="Times New Roman" w:cs="Times New Roman"/>
          <w:b w:val="0"/>
          <w:sz w:val="24"/>
          <w:szCs w:val="24"/>
        </w:rPr>
      </w:pPr>
    </w:p>
    <w:sectPr w:rsidR="007D17B9">
      <w:pgSz w:w="12240" w:h="15840"/>
      <w:pgMar w:top="576" w:right="576" w:bottom="576" w:left="1152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;宋体">
    <w:altName w:val="Yu Gothic"/>
    <w:panose1 w:val="020B0604020202020204"/>
    <w:charset w:val="80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87067"/>
    <w:multiLevelType w:val="multilevel"/>
    <w:tmpl w:val="D8D036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7B9"/>
    <w:rsid w:val="005A460A"/>
    <w:rsid w:val="007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083A"/>
  <w15:docId w15:val="{7C207BFF-B83B-4147-9CD9-FDE5BADD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SimSun;宋体" w:hAnsi="Arial" w:cs="Arial"/>
      <w:b/>
      <w:bCs/>
      <w:sz w:val="26"/>
      <w:szCs w:val="26"/>
      <w:lang w:bidi="ar-SA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numPr>
        <w:ilvl w:val="1"/>
        <w:numId w:val="1"/>
      </w:numPr>
      <w:spacing w:before="280" w:after="280"/>
      <w:outlineLvl w:val="1"/>
    </w:pPr>
    <w:rPr>
      <w:rFonts w:ascii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rderdetailsalignprinterversion">
    <w:name w:val="orderdetails_alignprinterversion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mbg-nw">
    <w:name w:val="mbg-nw"/>
    <w:basedOn w:val="DefaultParagraphFont"/>
    <w:qFormat/>
  </w:style>
  <w:style w:type="character" w:customStyle="1" w:styleId="mbg-l">
    <w:name w:val="mbg-l"/>
    <w:basedOn w:val="DefaultParagraphFont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VisitedInternetLink">
    <w:name w:val="Visited Internet Link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b w:val="0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Ban_Chiang&amp;params=17.4069_N_103.2414_E_type:landmark_region:TH-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2019-12-12T18:03:00Z</dcterms:created>
  <dcterms:modified xsi:type="dcterms:W3CDTF">2019-12-12T18:09:00Z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2018-01-12T01:01:00Z</dcterms:created>
  <dc:creator>USER</dc:creator>
  <dc:description/>
  <cp:keywords/>
  <dc:language>en-US</dc:language>
  <cp:lastModifiedBy>murcott</cp:lastModifiedBy>
  <dcterms:modified xsi:type="dcterms:W3CDTF">2018-01-12T01:01:00Z</dcterms:modified>
  <cp:revision>2</cp:revision>
  <dc:subject/>
  <dc:title>`Asia-Thailand-Ban Chiang-Copper artifacts</dc:title>
</cp:coreProperties>
</file>