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12" w:before="0" w:after="324"/>
        <w:ind w:start="0" w:end="4968" w:hanging="0"/>
        <w:rPr/>
      </w:pPr>
      <w:r>
        <w:rPr>
          <w:rFonts w:cs="Arial" w:ascii="Arial" w:hAnsi="Arial"/>
          <w:b/>
          <w:bCs/>
          <w:spacing w:val="-9"/>
          <w:w w:val="105"/>
        </w:rPr>
        <w:t xml:space="preserve">The President and Fellows of Harvard College </w:t>
      </w:r>
      <w:r>
        <w:rPr>
          <w:rFonts w:cs="Arial" w:ascii="Arial" w:hAnsi="Arial"/>
          <w:b/>
          <w:bCs/>
          <w:spacing w:val="-6"/>
          <w:w w:val="105"/>
        </w:rPr>
        <w:t>Harvard Art Museum</w:t>
      </w:r>
    </w:p>
    <w:p>
      <w:pPr>
        <w:pStyle w:val="Normal"/>
        <w:pBdr>
          <w:top w:val="single" w:sz="4" w:space="12" w:color="000000"/>
        </w:pBdr>
        <w:bidi w:val="0"/>
        <w:spacing w:before="6" w:after="0"/>
        <w:ind w:start="0" w:end="0" w:hanging="0"/>
        <w:rPr/>
      </w:pPr>
      <w:r>
        <w:rPr>
          <w:rFonts w:cs="Arial" w:ascii="Arial" w:hAnsi="Arial"/>
          <w:spacing w:val="26"/>
          <w:sz w:val="19"/>
          <w:szCs w:val="19"/>
        </w:rPr>
        <w:t>A Chinese Bronze Mirror</w:t>
      </w:r>
    </w:p>
    <w:p>
      <w:pPr>
        <w:pStyle w:val="Normal"/>
        <w:bidi w:val="0"/>
        <w:spacing w:before="36" w:after="0"/>
        <w:ind w:start="0" w:end="0" w:hanging="0"/>
        <w:rPr/>
      </w:pPr>
      <w:r>
        <w:rPr>
          <w:rFonts w:cs="Arial" w:ascii="Arial" w:hAnsi="Arial"/>
          <w:spacing w:val="22"/>
          <w:sz w:val="19"/>
          <w:szCs w:val="19"/>
        </w:rPr>
        <w:t>Author(s): Sheila Rubin</w:t>
      </w:r>
    </w:p>
    <w:p>
      <w:pPr>
        <w:pStyle w:val="Normal"/>
        <w:bidi w:val="0"/>
        <w:ind w:start="0" w:end="0" w:hanging="0"/>
        <w:rPr/>
      </w:pPr>
      <w:r>
        <w:rPr>
          <w:rFonts w:cs="Arial" w:ascii="Arial" w:hAnsi="Arial"/>
          <w:spacing w:val="12"/>
          <w:sz w:val="19"/>
          <w:szCs w:val="19"/>
        </w:rPr>
        <w:t>Reviewed work(s):</w:t>
      </w:r>
    </w:p>
    <w:p>
      <w:pPr>
        <w:pStyle w:val="Normal"/>
        <w:bidi w:val="0"/>
        <w:spacing w:before="36" w:after="0"/>
        <w:ind w:start="0" w:end="720" w:hanging="0"/>
        <w:rPr/>
      </w:pPr>
      <w:r>
        <w:rPr>
          <w:rFonts w:cs="Arial" w:ascii="Arial" w:hAnsi="Arial"/>
          <w:spacing w:val="25"/>
          <w:sz w:val="19"/>
          <w:szCs w:val="19"/>
        </w:rPr>
        <w:t xml:space="preserve">Source: </w:t>
      </w:r>
      <w:r>
        <w:rPr>
          <w:rFonts w:cs="Arial" w:ascii="Arial" w:hAnsi="Arial"/>
          <w:i/>
          <w:iCs/>
          <w:spacing w:val="15"/>
          <w:sz w:val="19"/>
          <w:szCs w:val="19"/>
        </w:rPr>
        <w:t xml:space="preserve">Annual Report (Fogg Art Museum), </w:t>
      </w:r>
      <w:r>
        <w:rPr>
          <w:rFonts w:cs="Arial" w:ascii="Arial" w:hAnsi="Arial"/>
          <w:spacing w:val="25"/>
          <w:sz w:val="19"/>
          <w:szCs w:val="19"/>
        </w:rPr>
        <w:t xml:space="preserve">No. 1955/1956 (1955 - 1956), pp. 58-59+64 </w:t>
      </w:r>
      <w:r>
        <w:rPr>
          <w:rFonts w:cs="Arial" w:ascii="Arial" w:hAnsi="Arial"/>
          <w:spacing w:val="-4"/>
          <w:sz w:val="19"/>
          <w:szCs w:val="19"/>
        </w:rPr>
        <w:t>Published by:</w:t>
      </w:r>
      <w:r>
        <w:rPr>
          <w:color w:val="0000FF"/>
          <w:spacing w:val="6"/>
          <w:w w:val="105"/>
          <w:sz w:val="22"/>
          <w:szCs w:val="22"/>
        </w:rPr>
        <w:t xml:space="preserve"> The President and Fellows of Harvard </w:t>
      </w:r>
      <w:r>
        <w:rPr>
          <w:color w:val="0000FF"/>
          <w:spacing w:val="6"/>
          <w:w w:val="110"/>
          <w:sz w:val="22"/>
          <w:szCs w:val="22"/>
          <w:u w:val="single"/>
        </w:rPr>
        <w:t>College</w:t>
      </w:r>
      <w:r>
        <w:rPr>
          <w:rFonts w:cs="Arial" w:ascii="Arial" w:hAnsi="Arial"/>
          <w:spacing w:val="-4"/>
          <w:sz w:val="19"/>
          <w:szCs w:val="19"/>
        </w:rPr>
        <w:t xml:space="preserve"> on behalf of the</w:t>
      </w:r>
      <w:r>
        <w:rPr>
          <w:color w:val="0000FF"/>
          <w:spacing w:val="6"/>
          <w:w w:val="105"/>
          <w:sz w:val="22"/>
          <w:szCs w:val="22"/>
        </w:rPr>
        <w:t xml:space="preserve"> Harvard Art Museum </w:t>
      </w:r>
      <w:r>
        <w:rPr>
          <w:rFonts w:cs="Arial" w:ascii="Arial" w:hAnsi="Arial"/>
          <w:spacing w:val="-8"/>
          <w:sz w:val="19"/>
          <w:szCs w:val="19"/>
        </w:rPr>
        <w:t>Stable URL:</w:t>
      </w:r>
      <w:r>
        <w:rPr>
          <w:color w:val="0000FF"/>
          <w:spacing w:val="2"/>
          <w:w w:val="105"/>
          <w:sz w:val="22"/>
          <w:szCs w:val="22"/>
        </w:rPr>
        <w:t xml:space="preserve"> </w:t>
      </w:r>
      <w:hyperlink r:id="rId2">
        <w:r>
          <w:rPr>
            <w:rStyle w:val="ListLabel2"/>
            <w:color w:val="0000FF"/>
            <w:spacing w:val="2"/>
            <w:w w:val="105"/>
            <w:sz w:val="22"/>
            <w:szCs w:val="22"/>
            <w:u w:val="single"/>
          </w:rPr>
          <w:t>http://www.jstor.org/stable/430</w:t>
        </w:r>
        <w:r>
          <w:rPr>
            <w:rStyle w:val="ListLabel2"/>
            <w:color w:val="0000FF"/>
            <w:spacing w:val="2"/>
            <w:w w:val="110"/>
            <w:sz w:val="22"/>
            <w:szCs w:val="22"/>
            <w:u w:val="single"/>
          </w:rPr>
          <w:t>1286</w:t>
        </w:r>
      </w:hyperlink>
      <w:r>
        <w:rPr>
          <w:spacing w:val="2"/>
          <w:sz w:val="22"/>
          <w:szCs w:val="22"/>
        </w:rPr>
        <w:t xml:space="preserve"> </w:t>
      </w:r>
    </w:p>
    <w:p>
      <w:pPr>
        <w:pStyle w:val="Normal"/>
        <w:bidi w:val="0"/>
        <w:spacing w:before="0" w:after="144"/>
        <w:ind w:start="0" w:end="0" w:hanging="0"/>
        <w:rPr/>
      </w:pPr>
      <w:r>
        <w:rPr>
          <w:rFonts w:cs="Arial" w:ascii="Arial" w:hAnsi="Arial"/>
          <w:spacing w:val="18"/>
          <w:sz w:val="19"/>
          <w:szCs w:val="19"/>
        </w:rPr>
        <w:t>Accessed: 11/05/2012 08:00</w:t>
      </w:r>
    </w:p>
    <w:p>
      <w:pPr>
        <w:pStyle w:val="Normal"/>
        <w:bidi w:val="0"/>
        <w:spacing w:before="216" w:after="0"/>
        <w:ind w:start="0" w:end="180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4573270" cy="1270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3pt" to="513pt,0.3pt" stroked="t" style="position:absolut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spacing w:val="-8"/>
          <w:w w:val="105"/>
          <w:sz w:val="20"/>
          <w:szCs w:val="20"/>
        </w:rPr>
        <w:t>Y</w:t>
      </w:r>
      <w:r>
        <w:rPr>
          <w:spacing w:val="-8"/>
          <w:w w:val="105"/>
          <w:sz w:val="20"/>
          <w:szCs w:val="20"/>
        </w:rPr>
        <w:t>our use of the JSTOR archive indicates your acceptance of the Terms &amp; Conditions of Use, available at</w:t>
      </w:r>
      <w:r>
        <w:rPr>
          <w:spacing w:val="-8"/>
          <w:sz w:val="22"/>
          <w:szCs w:val="22"/>
        </w:rPr>
        <w:t xml:space="preserve"> </w:t>
      </w:r>
      <w:hyperlink r:id="rId3">
        <w:r>
          <w:rPr>
            <w:rStyle w:val="ListLabel3"/>
            <w:color w:val="0000FF"/>
            <w:spacing w:val="-3"/>
            <w:w w:val="105"/>
            <w:sz w:val="20"/>
            <w:szCs w:val="20"/>
            <w:u w:val="single"/>
          </w:rPr>
          <w:t>http://www.jstor.org/page/info/about/policies/terms.jsp</w:t>
        </w:r>
      </w:hyperlink>
    </w:p>
    <w:p>
      <w:pPr>
        <w:pStyle w:val="Normal"/>
        <w:bidi w:val="0"/>
        <w:spacing w:before="252" w:after="7632"/>
        <w:ind w:start="0" w:end="144" w:hanging="0"/>
        <w:jc w:val="both"/>
        <w:rPr/>
      </w:pPr>
      <w:r>
        <w:rPr>
          <w:spacing w:val="-4"/>
          <w:w w:val="105"/>
          <w:sz w:val="20"/>
          <w:szCs w:val="20"/>
        </w:rPr>
        <w:t xml:space="preserve">JSTOR is a not-for-profit service that helps scholars, researchers, and students discover, use, and build upon a wide range of </w:t>
      </w:r>
      <w:r>
        <w:rPr>
          <w:spacing w:val="-3"/>
          <w:w w:val="105"/>
          <w:sz w:val="20"/>
          <w:szCs w:val="20"/>
        </w:rPr>
        <w:t xml:space="preserve">content in a trusted digital archive. We use information technology and tools to increase productivity and facilitate new forms </w:t>
      </w:r>
      <w:r>
        <w:rPr>
          <w:spacing w:val="-4"/>
          <w:w w:val="105"/>
          <w:sz w:val="20"/>
          <w:szCs w:val="20"/>
        </w:rPr>
        <w:t xml:space="preserve">of scholarship. For more information about JSTOR, please contact </w:t>
      </w:r>
      <w:hyperlink r:id="rId4">
        <w:r>
          <w:rPr>
            <w:rStyle w:val="ListLabel4"/>
            <w:color w:val="0000FF"/>
            <w:spacing w:val="-4"/>
            <w:w w:val="105"/>
            <w:sz w:val="20"/>
            <w:szCs w:val="20"/>
            <w:u w:val="single"/>
          </w:rPr>
          <w:t>support@jstor.org</w:t>
        </w:r>
      </w:hyperlink>
      <w:r>
        <w:rPr>
          <w:spacing w:val="-4"/>
          <w:w w:val="105"/>
          <w:sz w:val="20"/>
          <w:szCs w:val="20"/>
        </w:rPr>
        <w:t>.</w:t>
      </w:r>
    </w:p>
    <w:tbl>
      <w:tblPr>
        <w:tblW w:w="1026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1204"/>
        <w:gridCol w:w="9055"/>
      </w:tblGrid>
      <w:tr>
        <w:trPr>
          <w:trHeight w:val="1332" w:hRule="exact"/>
        </w:trPr>
        <w:tc>
          <w:tcPr>
            <w:tcW w:w="12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before="0" w:after="69"/>
              <w:ind w:start="43" w:end="0" w:hanging="0"/>
              <w:jc w:val="center"/>
              <w:rPr/>
            </w:pPr>
            <w:r>
              <w:rPr/>
              <w:drawing>
                <wp:inline distT="0" distB="0" distL="0" distR="0">
                  <wp:extent cx="737870" cy="802005"/>
                  <wp:effectExtent l="0" t="0" r="0" b="0"/>
                  <wp:docPr id="2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80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55" w:type="dxa"/>
            <w:tcBorders/>
            <w:shd w:fill="auto" w:val="clear"/>
            <w:tcMar>
              <w:start w:w="108" w:type="dxa"/>
              <w:end w:w="108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182"/>
              <w:ind w:start="108" w:end="396" w:hanging="0"/>
              <w:rPr/>
            </w:pPr>
            <w:r>
              <w:rPr>
                <w:i/>
                <w:iCs/>
                <w:spacing w:val="-6"/>
                <w:w w:val="105"/>
                <w:sz w:val="20"/>
                <w:szCs w:val="20"/>
              </w:rPr>
              <w:t>The President and Fellows of Harvard College</w:t>
            </w:r>
            <w:r>
              <w:rPr>
                <w:spacing w:val="-6"/>
                <w:w w:val="105"/>
                <w:sz w:val="20"/>
                <w:szCs w:val="20"/>
              </w:rPr>
              <w:t xml:space="preserve"> and </w:t>
            </w:r>
            <w:r>
              <w:rPr>
                <w:i/>
                <w:iCs/>
                <w:spacing w:val="-6"/>
                <w:w w:val="105"/>
                <w:sz w:val="20"/>
                <w:szCs w:val="20"/>
              </w:rPr>
              <w:t>Harvard Art Museum</w:t>
            </w:r>
            <w:r>
              <w:rPr>
                <w:spacing w:val="-6"/>
                <w:w w:val="105"/>
                <w:sz w:val="20"/>
                <w:szCs w:val="20"/>
              </w:rPr>
              <w:t xml:space="preserve"> are collaborating with JSTOR to </w:t>
            </w:r>
            <w:r>
              <w:rPr>
                <w:spacing w:val="-3"/>
                <w:w w:val="105"/>
                <w:sz w:val="20"/>
                <w:szCs w:val="20"/>
              </w:rPr>
              <w:t xml:space="preserve">digitize, preserve and extend access to </w:t>
            </w:r>
            <w:r>
              <w:rPr>
                <w:i/>
                <w:iCs/>
                <w:spacing w:val="-3"/>
                <w:w w:val="105"/>
                <w:sz w:val="20"/>
                <w:szCs w:val="20"/>
              </w:rPr>
              <w:t>Annual Report (Fogg Art Museum).</w:t>
            </w:r>
          </w:p>
        </w:tc>
      </w:tr>
    </w:tbl>
    <w:p>
      <w:pPr>
        <w:sectPr>
          <w:footerReference w:type="default" r:id="rId6"/>
          <w:type w:val="nextPage"/>
          <w:pgSz w:w="11918" w:h="16854"/>
          <w:pgMar w:left="923" w:right="675" w:header="0" w:top="1972" w:footer="714" w:bottom="771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lineRule="auto" w:line="211"/>
        <w:ind w:start="0" w:end="0" w:hanging="0"/>
        <w:jc w:val="center"/>
        <w:rPr/>
      </w:pPr>
      <w:r>
        <w:rPr>
          <w:rFonts w:cs="Garamond" w:ascii="Garamond" w:hAnsi="Garamond"/>
          <w:spacing w:val="4"/>
          <w:sz w:val="22"/>
          <w:szCs w:val="22"/>
        </w:rPr>
        <w:t>A CHINESE BRONZE MIRROR</w:t>
      </w:r>
    </w:p>
    <w:p>
      <w:pPr>
        <w:pStyle w:val="Normal"/>
        <w:bidi w:val="0"/>
        <w:spacing w:lineRule="auto" w:line="228" w:before="108" w:after="0"/>
        <w:ind w:start="0" w:end="0" w:firstLine="144"/>
        <w:jc w:val="both"/>
        <w:rPr/>
      </w:pPr>
      <w:r>
        <w:rPr>
          <w:rFonts w:cs="Garamond" w:ascii="Garamond" w:hAnsi="Garamond"/>
          <w:spacing w:val="-4"/>
          <w:sz w:val="22"/>
          <w:szCs w:val="22"/>
        </w:rPr>
        <w:t xml:space="preserve">This round mirror </w:t>
      </w:r>
      <w:r>
        <w:rPr>
          <w:rFonts w:cs="Bookman Old Style" w:ascii="Bookman Old Style" w:hAnsi="Bookman Old Style"/>
          <w:spacing w:val="-4"/>
          <w:w w:val="145"/>
          <w:sz w:val="22"/>
          <w:szCs w:val="22"/>
          <w:vertAlign w:val="superscript"/>
        </w:rPr>
        <w:t>1</w:t>
      </w:r>
      <w:r>
        <w:rPr>
          <w:rFonts w:cs="Garamond" w:ascii="Garamond" w:hAnsi="Garamond"/>
          <w:spacing w:val="-4"/>
          <w:sz w:val="22"/>
          <w:szCs w:val="22"/>
        </w:rPr>
        <w:t xml:space="preserve"> has a nearly flat face but is decorated on the </w:t>
      </w:r>
      <w:r>
        <w:rPr>
          <w:rFonts w:cs="Garamond" w:ascii="Garamond" w:hAnsi="Garamond"/>
          <w:spacing w:val="1"/>
          <w:sz w:val="21"/>
          <w:szCs w:val="21"/>
        </w:rPr>
        <w:t xml:space="preserve">reverse by designs in relief. The central knob is a lion whose arched </w:t>
      </w:r>
      <w:r>
        <w:rPr>
          <w:rFonts w:cs="Garamond" w:ascii="Garamond" w:hAnsi="Garamond"/>
          <w:spacing w:val="-1"/>
          <w:sz w:val="21"/>
          <w:szCs w:val="21"/>
        </w:rPr>
        <w:t xml:space="preserve">body forms the loop for the cord handle. About him are four beasts </w:t>
      </w:r>
      <w:r>
        <w:rPr>
          <w:rFonts w:cs="Garamond" w:ascii="Garamond" w:hAnsi="Garamond"/>
          <w:sz w:val="21"/>
          <w:szCs w:val="21"/>
        </w:rPr>
        <w:t xml:space="preserve">reclining on a ground of tendrils and butterflies enclosed by a raised </w:t>
      </w:r>
      <w:r>
        <w:rPr>
          <w:rFonts w:cs="Garamond" w:ascii="Garamond" w:hAnsi="Garamond"/>
          <w:spacing w:val="5"/>
          <w:sz w:val="21"/>
          <w:szCs w:val="21"/>
        </w:rPr>
        <w:t xml:space="preserve">"vine" rim with twelve clusters of grapes on its inner side. In an </w:t>
      </w:r>
      <w:r>
        <w:rPr>
          <w:rFonts w:cs="Garamond" w:ascii="Garamond" w:hAnsi="Garamond"/>
          <w:spacing w:val="4"/>
          <w:sz w:val="21"/>
          <w:szCs w:val="21"/>
        </w:rPr>
        <w:t xml:space="preserve">outer zone are insects and butterflies alternating with two pair of </w:t>
      </w:r>
      <w:r>
        <w:rPr>
          <w:rFonts w:cs="Garamond" w:ascii="Garamond" w:hAnsi="Garamond"/>
          <w:spacing w:val="-1"/>
          <w:sz w:val="21"/>
          <w:szCs w:val="21"/>
        </w:rPr>
        <w:t xml:space="preserve">flying geese and two pair of birds perched among hanging clusters of </w:t>
      </w:r>
      <w:r>
        <w:rPr>
          <w:rFonts w:cs="Garamond" w:ascii="Garamond" w:hAnsi="Garamond"/>
          <w:sz w:val="21"/>
          <w:szCs w:val="21"/>
        </w:rPr>
        <w:t>grapes. The border is a thin rim with an inner band of a convention</w:t>
        <w:softHyphen/>
        <w:t>alized pattern.</w:t>
      </w:r>
    </w:p>
    <w:p>
      <w:pPr>
        <w:pStyle w:val="Normal"/>
        <w:bidi w:val="0"/>
        <w:spacing w:lineRule="auto" w:line="228" w:before="36" w:after="0"/>
        <w:ind w:start="0" w:end="0" w:firstLine="144"/>
        <w:jc w:val="both"/>
        <w:rPr/>
      </w:pPr>
      <w:r>
        <w:rPr>
          <w:rFonts w:cs="Garamond" w:ascii="Garamond" w:hAnsi="Garamond"/>
          <w:spacing w:val="1"/>
          <w:sz w:val="21"/>
          <w:szCs w:val="21"/>
        </w:rPr>
        <w:t xml:space="preserve">This mirror is a fine example of the "sea </w:t>
      </w:r>
      <w:r>
        <w:rPr>
          <w:rFonts w:cs="Garamond" w:ascii="Garamond" w:hAnsi="Garamond"/>
          <w:spacing w:val="1"/>
          <w:sz w:val="22"/>
          <w:szCs w:val="22"/>
        </w:rPr>
        <w:t xml:space="preserve">horse and grape type." </w:t>
      </w:r>
      <w:r>
        <w:rPr>
          <w:rFonts w:cs="Garamond" w:ascii="Garamond" w:hAnsi="Garamond"/>
          <w:spacing w:val="-2"/>
          <w:sz w:val="22"/>
          <w:szCs w:val="22"/>
        </w:rPr>
        <w:t xml:space="preserve">Twenty seven of these were recorded in the </w:t>
      </w:r>
      <w:r>
        <w:rPr>
          <w:i/>
          <w:iCs/>
          <w:spacing w:val="-2"/>
          <w:sz w:val="19"/>
          <w:szCs w:val="19"/>
        </w:rPr>
        <w:t xml:space="preserve">Ming Shou Chien Ku, </w:t>
      </w:r>
      <w:r>
        <w:rPr>
          <w:rFonts w:cs="Garamond" w:ascii="Garamond" w:hAnsi="Garamond"/>
          <w:spacing w:val="-2"/>
          <w:sz w:val="21"/>
          <w:szCs w:val="21"/>
        </w:rPr>
        <w:t xml:space="preserve">a </w:t>
      </w:r>
      <w:r>
        <w:rPr>
          <w:rFonts w:cs="Garamond" w:ascii="Garamond" w:hAnsi="Garamond"/>
          <w:spacing w:val="2"/>
          <w:sz w:val="21"/>
          <w:szCs w:val="21"/>
        </w:rPr>
        <w:t xml:space="preserve">description of the bronzes in the Imperial Collection commissioned </w:t>
      </w:r>
      <w:r>
        <w:rPr>
          <w:rFonts w:cs="Garamond" w:ascii="Garamond" w:hAnsi="Garamond"/>
          <w:sz w:val="21"/>
          <w:szCs w:val="21"/>
        </w:rPr>
        <w:t>by the Emperor Ch'ien Lung.</w:t>
      </w:r>
      <w:r>
        <w:rPr>
          <w:rFonts w:cs="Bookman Old Style" w:ascii="Bookman Old Style" w:hAnsi="Bookman Old Style"/>
          <w:sz w:val="21"/>
          <w:szCs w:val="21"/>
          <w:vertAlign w:val="superscript"/>
        </w:rPr>
        <w:t>2</w:t>
      </w:r>
      <w:r>
        <w:rPr>
          <w:rFonts w:cs="Garamond" w:ascii="Garamond" w:hAnsi="Garamond"/>
          <w:sz w:val="21"/>
          <w:szCs w:val="21"/>
        </w:rPr>
        <w:t xml:space="preserve"> The vine and grape motif first appears </w:t>
      </w:r>
      <w:r>
        <w:rPr>
          <w:rFonts w:cs="Garamond" w:ascii="Garamond" w:hAnsi="Garamond"/>
          <w:spacing w:val="1"/>
          <w:sz w:val="21"/>
          <w:szCs w:val="21"/>
        </w:rPr>
        <w:t>in Sassanian art and its use here demonstrates Persian influence.</w:t>
      </w:r>
      <w:r>
        <w:rPr>
          <w:rFonts w:cs="Bookman Old Style" w:ascii="Bookman Old Style" w:hAnsi="Bookman Old Style"/>
          <w:spacing w:val="1"/>
          <w:sz w:val="21"/>
          <w:szCs w:val="21"/>
          <w:vertAlign w:val="superscript"/>
        </w:rPr>
        <w:t>3</w:t>
      </w:r>
      <w:r>
        <w:rPr>
          <w:rFonts w:cs="Garamond" w:ascii="Garamond" w:hAnsi="Garamond"/>
          <w:spacing w:val="1"/>
          <w:sz w:val="21"/>
          <w:szCs w:val="21"/>
        </w:rPr>
        <w:t xml:space="preserve"> In </w:t>
      </w:r>
      <w:r>
        <w:rPr>
          <w:rFonts w:cs="Garamond" w:ascii="Garamond" w:hAnsi="Garamond"/>
          <w:spacing w:val="4"/>
          <w:sz w:val="21"/>
          <w:szCs w:val="21"/>
        </w:rPr>
        <w:t xml:space="preserve">the early twelfth century, Sung antiquarians dated these mirrors in </w:t>
      </w:r>
      <w:r>
        <w:rPr>
          <w:rFonts w:cs="Garamond" w:ascii="Garamond" w:hAnsi="Garamond"/>
          <w:spacing w:val="2"/>
          <w:sz w:val="21"/>
          <w:szCs w:val="21"/>
        </w:rPr>
        <w:t>the Han period (2o2 B.C. — A.D. 220), associating them with the famous traveller, Chang Chien. According to tradition, he had in</w:t>
        <w:softHyphen/>
      </w:r>
      <w:r>
        <w:rPr>
          <w:rFonts w:cs="Garamond" w:ascii="Garamond" w:hAnsi="Garamond"/>
          <w:spacing w:val="1"/>
          <w:sz w:val="21"/>
          <w:szCs w:val="21"/>
        </w:rPr>
        <w:t xml:space="preserve">troduced grapes into China when he returned from his trip to Bactria </w:t>
      </w:r>
      <w:r>
        <w:rPr>
          <w:rFonts w:cs="Garamond" w:ascii="Garamond" w:hAnsi="Garamond"/>
          <w:sz w:val="21"/>
          <w:szCs w:val="21"/>
        </w:rPr>
        <w:t xml:space="preserve">in 126 B.C. Now most scholars believe that the sea horse and grape </w:t>
      </w:r>
      <w:r>
        <w:rPr>
          <w:rFonts w:cs="Garamond" w:ascii="Garamond" w:hAnsi="Garamond"/>
          <w:spacing w:val="2"/>
          <w:sz w:val="21"/>
          <w:szCs w:val="21"/>
        </w:rPr>
        <w:t xml:space="preserve">mirrors date from the T'ang Dynasty (A.D. 638-906) but made their </w:t>
      </w:r>
      <w:r>
        <w:rPr>
          <w:rFonts w:cs="Garamond" w:ascii="Garamond" w:hAnsi="Garamond"/>
          <w:spacing w:val="5"/>
          <w:sz w:val="21"/>
          <w:szCs w:val="21"/>
        </w:rPr>
        <w:t xml:space="preserve">first appearance late in the preceding Six Dynasties period. The </w:t>
      </w:r>
      <w:r>
        <w:rPr>
          <w:rFonts w:cs="Garamond" w:ascii="Garamond" w:hAnsi="Garamond"/>
          <w:spacing w:val="-4"/>
          <w:sz w:val="21"/>
          <w:szCs w:val="21"/>
        </w:rPr>
        <w:t xml:space="preserve">Persian influence found here, as well as the naturalistic forms skillfully </w:t>
      </w:r>
      <w:r>
        <w:rPr>
          <w:rFonts w:cs="Garamond" w:ascii="Garamond" w:hAnsi="Garamond"/>
          <w:spacing w:val="1"/>
          <w:sz w:val="21"/>
          <w:szCs w:val="21"/>
        </w:rPr>
        <w:t xml:space="preserve">represented in high relief, are characteristic of the art of the T'ang Dynasty. The graceful geese and the beautifully rendered grapes are </w:t>
      </w:r>
      <w:r>
        <w:rPr>
          <w:rFonts w:cs="Garamond" w:ascii="Garamond" w:hAnsi="Garamond"/>
          <w:spacing w:val="-1"/>
          <w:sz w:val="21"/>
          <w:szCs w:val="21"/>
        </w:rPr>
        <w:t>quite different from the stylized designs of the Han period. The exu</w:t>
        <w:softHyphen/>
      </w:r>
      <w:r>
        <w:rPr>
          <w:rFonts w:cs="Garamond" w:ascii="Garamond" w:hAnsi="Garamond"/>
          <w:spacing w:val="2"/>
          <w:sz w:val="21"/>
          <w:szCs w:val="21"/>
        </w:rPr>
        <w:t xml:space="preserve">berance of the over-all pattern suggests a date in the middle T'ang </w:t>
      </w:r>
      <w:r>
        <w:rPr>
          <w:rFonts w:cs="Garamond" w:ascii="Garamond" w:hAnsi="Garamond"/>
          <w:sz w:val="21"/>
          <w:szCs w:val="21"/>
        </w:rPr>
        <w:t>period, the 7th or 8th century.</w:t>
      </w:r>
    </w:p>
    <w:p>
      <w:pPr>
        <w:pStyle w:val="Normal"/>
        <w:bidi w:val="0"/>
        <w:spacing w:lineRule="auto" w:line="220" w:before="36" w:after="0"/>
        <w:ind w:start="0" w:end="0" w:firstLine="144"/>
        <w:jc w:val="both"/>
        <w:rPr/>
      </w:pPr>
      <w:r>
        <w:rPr>
          <w:rFonts w:cs="Garamond" w:ascii="Garamond" w:hAnsi="Garamond"/>
          <w:spacing w:val="5"/>
          <w:sz w:val="21"/>
          <w:szCs w:val="21"/>
        </w:rPr>
        <w:t xml:space="preserve">Probably this object has deep symbolic meaning. The Chinese </w:t>
      </w:r>
      <w:r>
        <w:rPr>
          <w:rFonts w:cs="Garamond" w:ascii="Garamond" w:hAnsi="Garamond"/>
          <w:spacing w:val="3"/>
          <w:sz w:val="21"/>
          <w:szCs w:val="21"/>
        </w:rPr>
        <w:t xml:space="preserve">mirror served a twofold purpose: the functional reflecting face is </w:t>
      </w:r>
      <w:r>
        <w:rPr>
          <w:rFonts w:cs="Garamond" w:ascii="Garamond" w:hAnsi="Garamond"/>
          <w:spacing w:val="1"/>
          <w:sz w:val="21"/>
          <w:szCs w:val="21"/>
        </w:rPr>
        <w:t xml:space="preserve">complemented by a reverse with ornament suggesting the cosmos, </w:t>
      </w:r>
      <w:r>
        <w:rPr>
          <w:rFonts w:cs="Garamond" w:ascii="Garamond" w:hAnsi="Garamond"/>
          <w:spacing w:val="3"/>
          <w:sz w:val="21"/>
          <w:szCs w:val="21"/>
        </w:rPr>
        <w:t>designed to catch the divine light of heaven.</w:t>
      </w:r>
      <w:r>
        <w:rPr>
          <w:rFonts w:cs="Bookman Old Style" w:ascii="Bookman Old Style" w:hAnsi="Bookman Old Style"/>
          <w:spacing w:val="3"/>
          <w:sz w:val="21"/>
          <w:szCs w:val="21"/>
          <w:vertAlign w:val="superscript"/>
        </w:rPr>
        <w:t>4</w:t>
      </w:r>
      <w:r>
        <w:rPr>
          <w:rFonts w:cs="Garamond" w:ascii="Garamond" w:hAnsi="Garamond"/>
          <w:spacing w:val="3"/>
          <w:sz w:val="21"/>
          <w:szCs w:val="21"/>
        </w:rPr>
        <w:t xml:space="preserve"> The scheme consists </w:t>
      </w:r>
      <w:r>
        <w:rPr>
          <w:rFonts w:cs="Garamond" w:ascii="Garamond" w:hAnsi="Garamond"/>
          <w:spacing w:val="5"/>
          <w:sz w:val="21"/>
          <w:szCs w:val="21"/>
        </w:rPr>
        <w:t>of a point (the lion) circumscribed by two circles—the axis of the</w:t>
      </w:r>
    </w:p>
    <w:p>
      <w:pPr>
        <w:pStyle w:val="Normal"/>
        <w:bidi w:val="0"/>
        <w:spacing w:lineRule="auto" w:line="252" w:before="108" w:after="0"/>
        <w:ind w:start="0" w:end="324" w:hanging="0"/>
        <w:jc w:val="end"/>
        <w:rPr/>
      </w:pPr>
      <w:r>
        <w:rPr>
          <w:i/>
          <w:iCs/>
          <w:spacing w:val="4"/>
          <w:sz w:val="19"/>
          <w:szCs w:val="19"/>
        </w:rPr>
        <w:t>(continued on page 64)</w:t>
      </w:r>
    </w:p>
    <w:p>
      <w:pPr>
        <w:pStyle w:val="Normal"/>
        <w:bidi w:val="0"/>
        <w:spacing w:lineRule="auto" w:line="218" w:before="72" w:after="0"/>
        <w:ind w:start="0" w:end="0" w:firstLine="216"/>
        <w:rPr/>
      </w:pPr>
      <w:r>
        <w:rPr>
          <w:rFonts w:cs="Bookman Old Style" w:ascii="Bookman Old Style" w:hAnsi="Bookman Old Style"/>
          <w:i/>
          <w:iCs/>
          <w:spacing w:val="-4"/>
          <w:w w:val="145"/>
          <w:sz w:val="9"/>
          <w:szCs w:val="9"/>
          <w:vertAlign w:val="superscript"/>
        </w:rPr>
        <w:t>1</w:t>
      </w:r>
      <w:r>
        <w:rPr>
          <w:rFonts w:cs="Bookman Old Style" w:ascii="Bookman Old Style" w:hAnsi="Bookman Old Style"/>
          <w:spacing w:val="-4"/>
          <w:sz w:val="17"/>
          <w:szCs w:val="17"/>
        </w:rPr>
        <w:t xml:space="preserve">Bronze, all-over greenish-black patina. 51/4" in diameter. Gift </w:t>
      </w:r>
      <w:r>
        <w:rPr>
          <w:rFonts w:cs="Bookman Old Style" w:ascii="Bookman Old Style" w:hAnsi="Bookman Old Style"/>
          <w:spacing w:val="-2"/>
          <w:sz w:val="17"/>
          <w:szCs w:val="17"/>
        </w:rPr>
        <w:t>of Philip Hofer, in memory of Langdon Warner.</w:t>
      </w:r>
    </w:p>
    <w:p>
      <w:pPr>
        <w:pStyle w:val="Normal"/>
        <w:bidi w:val="0"/>
        <w:spacing w:lineRule="auto" w:line="199"/>
        <w:ind w:start="216" w:end="0" w:hanging="0"/>
        <w:rPr/>
      </w:pPr>
      <w:r>
        <w:rPr>
          <w:rFonts w:cs="Bookman Old Style" w:ascii="Bookman Old Style" w:hAnsi="Bookman Old Style"/>
          <w:sz w:val="17"/>
          <w:szCs w:val="17"/>
        </w:rPr>
        <w:t xml:space="preserve">'R. W. Swallow, </w:t>
      </w:r>
      <w:r>
        <w:rPr>
          <w:i/>
          <w:iCs/>
          <w:sz w:val="19"/>
          <w:szCs w:val="19"/>
        </w:rPr>
        <w:t xml:space="preserve">Ancient Bronze Chinese Mirrors, </w:t>
      </w:r>
      <w:r>
        <w:rPr>
          <w:rFonts w:cs="Bookman Old Style" w:ascii="Bookman Old Style" w:hAnsi="Bookman Old Style"/>
          <w:sz w:val="17"/>
          <w:szCs w:val="17"/>
        </w:rPr>
        <w:t xml:space="preserve">Peiping, 1937, p. 52. </w:t>
      </w:r>
      <w:r>
        <w:rPr>
          <w:rFonts w:cs="Bookman Old Style" w:ascii="Bookman Old Style" w:hAnsi="Bookman Old Style"/>
          <w:spacing w:val="-3"/>
          <w:w w:val="120"/>
          <w:sz w:val="9"/>
          <w:szCs w:val="9"/>
          <w:vertAlign w:val="superscript"/>
        </w:rPr>
        <w:t>3</w:t>
      </w:r>
      <w:r>
        <w:rPr>
          <w:i/>
          <w:iCs/>
          <w:spacing w:val="-3"/>
          <w:sz w:val="19"/>
          <w:szCs w:val="19"/>
        </w:rPr>
        <w:t xml:space="preserve"> W. </w:t>
      </w:r>
      <w:r>
        <w:rPr>
          <w:rFonts w:cs="Bookman Old Style" w:ascii="Bookman Old Style" w:hAnsi="Bookman Old Style"/>
          <w:spacing w:val="-3"/>
          <w:sz w:val="17"/>
          <w:szCs w:val="17"/>
        </w:rPr>
        <w:t xml:space="preserve">P. Yetts, </w:t>
      </w:r>
      <w:r>
        <w:rPr>
          <w:i/>
          <w:iCs/>
          <w:spacing w:val="-3"/>
          <w:sz w:val="19"/>
          <w:szCs w:val="19"/>
        </w:rPr>
        <w:t xml:space="preserve">The Cull Chinese Bronzes, </w:t>
      </w:r>
      <w:r>
        <w:rPr>
          <w:rFonts w:cs="Bookman Old Style" w:ascii="Bookman Old Style" w:hAnsi="Bookman Old Style"/>
          <w:spacing w:val="-3"/>
          <w:sz w:val="17"/>
          <w:szCs w:val="17"/>
        </w:rPr>
        <w:t>London, 1939, p. 161.</w:t>
      </w:r>
    </w:p>
    <w:p>
      <w:pPr>
        <w:pStyle w:val="Normal"/>
        <w:bidi w:val="0"/>
        <w:spacing w:lineRule="auto" w:line="192"/>
        <w:ind w:start="0" w:end="36" w:hanging="0"/>
        <w:jc w:val="end"/>
        <w:rPr/>
      </w:pPr>
      <w:r>
        <w:rPr>
          <w:rFonts w:cs="Bookman Old Style" w:ascii="Bookman Old Style" w:hAnsi="Bookman Old Style"/>
          <w:spacing w:val="-3"/>
          <w:sz w:val="17"/>
          <w:szCs w:val="17"/>
        </w:rPr>
        <w:t xml:space="preserve">J. M. Plumer, </w:t>
      </w:r>
      <w:r>
        <w:rPr>
          <w:i/>
          <w:iCs/>
          <w:spacing w:val="-3"/>
          <w:sz w:val="19"/>
          <w:szCs w:val="19"/>
        </w:rPr>
        <w:t>Design and Technique in Ancient Chinese Bronze Mirrors,</w:t>
      </w:r>
    </w:p>
    <w:p>
      <w:pPr>
        <w:sectPr>
          <w:footerReference w:type="default" r:id="rId7"/>
          <w:type w:val="nextPage"/>
          <w:pgSz w:w="7680" w:h="11509"/>
          <w:pgMar w:left="1002" w:right="858" w:header="0" w:top="1020" w:footer="851" w:bottom="908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ind w:start="0" w:end="0" w:hanging="0"/>
        <w:rPr/>
      </w:pPr>
      <w:r>
        <w:rPr>
          <w:rFonts w:cs="Bookman Old Style" w:ascii="Bookman Old Style" w:hAnsi="Bookman Old Style"/>
          <w:spacing w:val="-8"/>
          <w:sz w:val="17"/>
          <w:szCs w:val="17"/>
        </w:rPr>
        <w:t>Ann Arbor, 1941.</w:t>
      </w:r>
    </w:p>
    <w:p>
      <w:pPr>
        <w:sectPr>
          <w:footerReference w:type="default" r:id="rId9"/>
          <w:type w:val="nextPage"/>
          <w:pgSz w:w="7920" w:h="12240"/>
          <w:pgMar w:left="470" w:right="650" w:header="0" w:top="2820" w:footer="0" w:bottom="2890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before="2" w:after="0"/>
        <w:ind w:start="0" w:end="1" w:hanging="0"/>
        <w:jc w:val="center"/>
        <w:rPr/>
      </w:pPr>
      <w:r>
        <w:rPr/>
        <w:drawing>
          <wp:inline distT="0" distB="0" distL="0" distR="0">
            <wp:extent cx="4279265" cy="3926205"/>
            <wp:effectExtent l="0" t="0" r="0" b="0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06"/>
        <w:ind w:start="0" w:end="0" w:hanging="0"/>
        <w:jc w:val="center"/>
        <w:rPr/>
      </w:pPr>
      <w:r>
        <w:rPr>
          <w:rFonts w:cs="Garamond" w:ascii="Garamond" w:hAnsi="Garamond"/>
          <w:spacing w:val="-4"/>
          <w:sz w:val="21"/>
          <w:szCs w:val="21"/>
        </w:rPr>
        <w:t>HARVARD UNIVERSITY</w:t>
      </w:r>
    </w:p>
    <w:p>
      <w:pPr>
        <w:pStyle w:val="Normal"/>
        <w:bidi w:val="0"/>
        <w:spacing w:before="108" w:after="0"/>
        <w:ind w:start="0" w:end="0" w:hanging="0"/>
        <w:jc w:val="both"/>
        <w:rPr/>
      </w:pPr>
      <w:r>
        <w:rPr>
          <w:rFonts w:cs="Garamond" w:ascii="Garamond" w:hAnsi="Garamond"/>
          <w:spacing w:val="3"/>
          <w:sz w:val="21"/>
          <w:szCs w:val="21"/>
        </w:rPr>
        <w:t xml:space="preserve">fails to solace the painted woman. Beckmann believed that to grasp </w:t>
      </w:r>
      <w:r>
        <w:rPr>
          <w:rFonts w:cs="Garamond" w:ascii="Garamond" w:hAnsi="Garamond"/>
          <w:spacing w:val="4"/>
          <w:sz w:val="21"/>
          <w:szCs w:val="21"/>
        </w:rPr>
        <w:t>the intangibles, one must grasp reality with the greatest force.</w:t>
      </w:r>
      <w:r>
        <w:rPr>
          <w:rFonts w:cs="Bookman Old Style" w:ascii="Bookman Old Style" w:hAnsi="Bookman Old Style"/>
          <w:spacing w:val="4"/>
          <w:w w:val="105"/>
          <w:sz w:val="21"/>
          <w:szCs w:val="21"/>
          <w:vertAlign w:val="superscript"/>
        </w:rPr>
        <w:t>9</w:t>
      </w:r>
      <w:r>
        <w:rPr>
          <w:rFonts w:cs="Garamond" w:ascii="Garamond" w:hAnsi="Garamond"/>
          <w:spacing w:val="4"/>
          <w:sz w:val="21"/>
          <w:szCs w:val="21"/>
        </w:rPr>
        <w:t xml:space="preserve"> In </w:t>
      </w:r>
      <w:r>
        <w:rPr>
          <w:rFonts w:cs="Bookman Old Style" w:ascii="Bookman Old Style" w:hAnsi="Bookman Old Style"/>
          <w:i/>
          <w:iCs/>
          <w:spacing w:val="1"/>
          <w:sz w:val="18"/>
          <w:szCs w:val="18"/>
        </w:rPr>
        <w:t xml:space="preserve">The Actors </w:t>
      </w:r>
      <w:r>
        <w:rPr>
          <w:rFonts w:cs="Garamond" w:ascii="Garamond" w:hAnsi="Garamond"/>
          <w:spacing w:val="1"/>
          <w:sz w:val="21"/>
          <w:szCs w:val="21"/>
        </w:rPr>
        <w:t xml:space="preserve">he implemented his axiom by expressing, in his choice of the grand and the sordid, an indulgent understanding of the eternal </w:t>
      </w:r>
      <w:r>
        <w:rPr>
          <w:rFonts w:cs="Garamond" w:ascii="Garamond" w:hAnsi="Garamond"/>
          <w:sz w:val="21"/>
          <w:szCs w:val="21"/>
        </w:rPr>
        <w:t>human drama.</w:t>
      </w:r>
    </w:p>
    <w:p>
      <w:pPr>
        <w:pStyle w:val="Normal"/>
        <w:bidi w:val="0"/>
        <w:spacing w:lineRule="auto" w:line="288"/>
        <w:ind w:start="0" w:end="216" w:hanging="0"/>
        <w:jc w:val="end"/>
        <w:rPr/>
      </w:pPr>
      <w:r>
        <w:rPr>
          <w:rFonts w:cs="Garamond" w:ascii="Garamond" w:hAnsi="Garamond"/>
          <w:b/>
          <w:bCs/>
          <w:spacing w:val="4"/>
          <w:sz w:val="14"/>
          <w:szCs w:val="14"/>
        </w:rPr>
        <w:t>CHARLES CHETHAM</w:t>
      </w:r>
    </w:p>
    <w:p>
      <w:pPr>
        <w:pStyle w:val="Normal"/>
        <w:bidi w:val="0"/>
        <w:spacing w:lineRule="auto" w:line="194" w:before="144" w:after="0"/>
        <w:ind w:start="0" w:end="0" w:firstLine="288"/>
        <w:jc w:val="both"/>
        <w:rPr/>
      </w:pPr>
      <w:r>
        <w:rPr>
          <w:rFonts w:cs="Garamond" w:ascii="Garamond" w:hAnsi="Garamond"/>
          <w:spacing w:val="-5"/>
          <w:sz w:val="20"/>
          <w:szCs w:val="20"/>
        </w:rPr>
        <w:t xml:space="preserve">The philosopher's bust recalls another phrase from Beckmann's </w:t>
      </w:r>
      <w:r>
        <w:rPr>
          <w:rFonts w:cs="Garamond" w:ascii="Garamond" w:hAnsi="Garamond"/>
          <w:spacing w:val="-5"/>
          <w:sz w:val="21"/>
          <w:szCs w:val="21"/>
        </w:rPr>
        <w:t xml:space="preserve">On </w:t>
      </w:r>
      <w:r>
        <w:rPr>
          <w:i/>
          <w:iCs/>
          <w:spacing w:val="-5"/>
          <w:sz w:val="19"/>
          <w:szCs w:val="19"/>
        </w:rPr>
        <w:t xml:space="preserve">My </w:t>
      </w:r>
      <w:r>
        <w:rPr>
          <w:i/>
          <w:iCs/>
          <w:spacing w:val="-3"/>
          <w:sz w:val="19"/>
          <w:szCs w:val="19"/>
        </w:rPr>
        <w:t xml:space="preserve">Painting, </w:t>
      </w:r>
      <w:r>
        <w:rPr>
          <w:rFonts w:cs="Bookman Old Style" w:ascii="Bookman Old Style" w:hAnsi="Bookman Old Style"/>
          <w:i/>
          <w:iCs/>
          <w:spacing w:val="-3"/>
          <w:sz w:val="18"/>
          <w:szCs w:val="18"/>
        </w:rPr>
        <w:t xml:space="preserve">Op. Cit. </w:t>
      </w:r>
      <w:r>
        <w:rPr>
          <w:rFonts w:cs="Garamond" w:ascii="Garamond" w:hAnsi="Garamond"/>
          <w:spacing w:val="-3"/>
          <w:sz w:val="20"/>
          <w:szCs w:val="20"/>
        </w:rPr>
        <w:t xml:space="preserve">"I thought of my grand old friend Henri Rousseau, that </w:t>
      </w:r>
      <w:r>
        <w:rPr>
          <w:rFonts w:cs="Garamond" w:ascii="Garamond" w:hAnsi="Garamond"/>
          <w:sz w:val="20"/>
          <w:szCs w:val="20"/>
        </w:rPr>
        <w:t xml:space="preserve">Homer in the porter's lodge whose pre-historic dreams have sometimes </w:t>
      </w:r>
      <w:r>
        <w:rPr>
          <w:rFonts w:cs="Garamond" w:ascii="Garamond" w:hAnsi="Garamond"/>
          <w:spacing w:val="-4"/>
          <w:sz w:val="20"/>
          <w:szCs w:val="20"/>
        </w:rPr>
        <w:t>brought me near the gods," p. 13.</w:t>
      </w:r>
    </w:p>
    <w:p>
      <w:pPr>
        <w:pStyle w:val="Normal"/>
        <w:bidi w:val="0"/>
        <w:ind w:start="216" w:end="0" w:hanging="0"/>
        <w:rPr/>
      </w:pPr>
      <w:r>
        <w:rPr>
          <w:rFonts w:cs="Bookman Old Style" w:ascii="Bookman Old Style" w:hAnsi="Bookman Old Style"/>
          <w:w w:val="115"/>
          <w:sz w:val="8"/>
          <w:szCs w:val="8"/>
          <w:vertAlign w:val="superscript"/>
        </w:rPr>
        <w:t>9</w:t>
      </w:r>
      <w:r>
        <w:rPr>
          <w:rFonts w:cs="Garamond" w:ascii="Garamond" w:hAnsi="Garamond"/>
          <w:sz w:val="20"/>
          <w:szCs w:val="20"/>
        </w:rPr>
        <w:t xml:space="preserve"> Max Beckmann, </w:t>
      </w:r>
      <w:r>
        <w:rPr>
          <w:rFonts w:cs="Garamond" w:ascii="Garamond" w:hAnsi="Garamond"/>
          <w:i/>
          <w:iCs/>
          <w:sz w:val="19"/>
          <w:szCs w:val="19"/>
        </w:rPr>
        <w:t xml:space="preserve">Op. Cit., </w:t>
      </w:r>
      <w:r>
        <w:rPr>
          <w:rFonts w:cs="Garamond" w:ascii="Garamond" w:hAnsi="Garamond"/>
          <w:sz w:val="21"/>
          <w:szCs w:val="21"/>
        </w:rPr>
        <w:t xml:space="preserve">p. </w:t>
      </w:r>
      <w:r>
        <w:rPr>
          <w:rFonts w:cs="Garamond" w:ascii="Garamond" w:hAnsi="Garamond"/>
          <w:b/>
          <w:bCs/>
          <w:w w:val="110"/>
          <w:sz w:val="18"/>
          <w:szCs w:val="18"/>
        </w:rPr>
        <w:t>4.</w:t>
      </w:r>
    </w:p>
    <w:p>
      <w:pPr>
        <w:pStyle w:val="Normal"/>
        <w:bidi w:val="0"/>
        <w:spacing w:before="612" w:after="0"/>
        <w:ind w:start="0" w:end="0" w:hanging="0"/>
        <w:jc w:val="center"/>
        <w:rPr/>
      </w:pPr>
      <w:r>
        <w:rPr>
          <w:rFonts w:cs="Garamond" w:ascii="Garamond" w:hAnsi="Garamond"/>
          <w:spacing w:val="6"/>
          <w:sz w:val="20"/>
          <w:szCs w:val="20"/>
        </w:rPr>
        <w:t xml:space="preserve">A CHINESE BRONZE </w:t>
      </w:r>
      <w:r>
        <w:rPr>
          <w:rFonts w:cs="Garamond" w:ascii="Garamond" w:hAnsi="Garamond"/>
          <w:spacing w:val="6"/>
          <w:sz w:val="21"/>
          <w:szCs w:val="21"/>
        </w:rPr>
        <w:t xml:space="preserve">MIRROR </w:t>
      </w:r>
      <w:r>
        <w:rPr>
          <w:rFonts w:cs="Bookman Old Style" w:ascii="Bookman Old Style" w:hAnsi="Bookman Old Style"/>
          <w:i/>
          <w:iCs/>
          <w:spacing w:val="6"/>
          <w:sz w:val="18"/>
          <w:szCs w:val="18"/>
        </w:rPr>
        <w:t>(continued)</w:t>
      </w:r>
    </w:p>
    <w:p>
      <w:pPr>
        <w:pStyle w:val="Normal"/>
        <w:bidi w:val="0"/>
        <w:spacing w:before="180" w:after="0"/>
        <w:ind w:start="0" w:end="0" w:hanging="0"/>
        <w:jc w:val="both"/>
        <w:rPr/>
      </w:pPr>
      <w:r>
        <w:rPr>
          <w:rFonts w:cs="Garamond" w:ascii="Garamond" w:hAnsi="Garamond"/>
          <w:spacing w:val="2"/>
          <w:sz w:val="21"/>
          <w:szCs w:val="21"/>
        </w:rPr>
        <w:t>universe surrounded by the bands of heaven. The outer band, indi</w:t>
        <w:softHyphen/>
      </w:r>
      <w:r>
        <w:rPr>
          <w:rFonts w:cs="Garamond" w:ascii="Garamond" w:hAnsi="Garamond"/>
          <w:spacing w:val="1"/>
          <w:sz w:val="21"/>
          <w:szCs w:val="21"/>
        </w:rPr>
        <w:t xml:space="preserve">cating the rim of the encompassing dome of the sky, completes the </w:t>
      </w:r>
      <w:r>
        <w:rPr>
          <w:rFonts w:cs="Garamond" w:ascii="Garamond" w:hAnsi="Garamond"/>
          <w:sz w:val="21"/>
          <w:szCs w:val="21"/>
        </w:rPr>
        <w:t>cosmic symbolism.</w:t>
      </w:r>
    </w:p>
    <w:p>
      <w:pPr>
        <w:pStyle w:val="Normal"/>
        <w:bidi w:val="0"/>
        <w:ind w:start="0" w:end="0" w:firstLine="144"/>
        <w:jc w:val="both"/>
        <w:rPr/>
      </w:pPr>
      <w:r>
        <w:rPr>
          <w:rFonts w:cs="Garamond" w:ascii="Garamond" w:hAnsi="Garamond"/>
          <w:spacing w:val="4"/>
          <w:sz w:val="21"/>
          <w:szCs w:val="21"/>
        </w:rPr>
        <w:t xml:space="preserve">Cammann has suggested that this type of ornament may also have </w:t>
      </w:r>
      <w:r>
        <w:rPr>
          <w:rFonts w:cs="Garamond" w:ascii="Garamond" w:hAnsi="Garamond"/>
          <w:spacing w:val="2"/>
          <w:sz w:val="21"/>
          <w:szCs w:val="21"/>
        </w:rPr>
        <w:t xml:space="preserve">a hedonistic significance in keeping with the materialistic outlook of </w:t>
      </w:r>
      <w:r>
        <w:rPr>
          <w:rFonts w:cs="Garamond" w:ascii="Garamond" w:hAnsi="Garamond"/>
          <w:spacing w:val="4"/>
          <w:sz w:val="21"/>
          <w:szCs w:val="21"/>
        </w:rPr>
        <w:t>the T'ang court.</w:t>
      </w:r>
      <w:r>
        <w:rPr>
          <w:rFonts w:cs="Bookman Old Style" w:ascii="Bookman Old Style" w:hAnsi="Bookman Old Style"/>
          <w:spacing w:val="4"/>
          <w:w w:val="105"/>
          <w:sz w:val="21"/>
          <w:szCs w:val="21"/>
          <w:vertAlign w:val="superscript"/>
        </w:rPr>
        <w:t>5</w:t>
      </w:r>
      <w:r>
        <w:rPr>
          <w:rFonts w:cs="Garamond" w:ascii="Garamond" w:hAnsi="Garamond"/>
          <w:spacing w:val="4"/>
          <w:sz w:val="21"/>
          <w:szCs w:val="21"/>
        </w:rPr>
        <w:t xml:space="preserve"> The lion patterns originated in early T'ang times </w:t>
      </w:r>
      <w:r>
        <w:rPr>
          <w:rFonts w:cs="Garamond" w:ascii="Garamond" w:hAnsi="Garamond"/>
          <w:spacing w:val="3"/>
          <w:sz w:val="21"/>
          <w:szCs w:val="21"/>
        </w:rPr>
        <w:t xml:space="preserve">and may represent the same idea in sculpture as the "Dance of the </w:t>
      </w:r>
      <w:r>
        <w:rPr>
          <w:rFonts w:cs="Garamond" w:ascii="Garamond" w:hAnsi="Garamond"/>
          <w:spacing w:val="2"/>
          <w:sz w:val="21"/>
          <w:szCs w:val="21"/>
        </w:rPr>
        <w:t xml:space="preserve">Lions of the Five Directions." This, accompanied by the music of </w:t>
      </w:r>
      <w:r>
        <w:rPr>
          <w:rFonts w:cs="Garamond" w:ascii="Garamond" w:hAnsi="Garamond"/>
          <w:sz w:val="21"/>
          <w:szCs w:val="21"/>
        </w:rPr>
        <w:t xml:space="preserve">"Universal Peace," was a popular musical performance at the Chinese court during the Sui and T'ang Dynasties. The profusion of grapes, </w:t>
      </w:r>
      <w:r>
        <w:rPr>
          <w:rFonts w:cs="Garamond" w:ascii="Garamond" w:hAnsi="Garamond"/>
          <w:spacing w:val="1"/>
          <w:sz w:val="21"/>
          <w:szCs w:val="21"/>
        </w:rPr>
        <w:t xml:space="preserve">symbolic of luxurious eating and drinking, and the birds, symbols of </w:t>
      </w:r>
      <w:r>
        <w:rPr>
          <w:rFonts w:cs="Garamond" w:ascii="Garamond" w:hAnsi="Garamond"/>
          <w:spacing w:val="-1"/>
          <w:sz w:val="21"/>
          <w:szCs w:val="21"/>
        </w:rPr>
        <w:t xml:space="preserve">music and joy, accord with a concept of the world at peace, a concept </w:t>
      </w:r>
      <w:r>
        <w:rPr>
          <w:rFonts w:cs="Garamond" w:ascii="Garamond" w:hAnsi="Garamond"/>
          <w:sz w:val="21"/>
          <w:szCs w:val="21"/>
        </w:rPr>
        <w:t>highly agreeable to the Chinese who had finally emerged from four centuries of general chaos.</w:t>
      </w:r>
    </w:p>
    <w:p>
      <w:pPr>
        <w:pStyle w:val="Normal"/>
        <w:bidi w:val="0"/>
        <w:ind w:start="0" w:end="0" w:firstLine="216"/>
        <w:jc w:val="both"/>
        <w:rPr/>
      </w:pPr>
      <w:r>
        <w:rPr>
          <w:rFonts w:cs="Garamond" w:ascii="Garamond" w:hAnsi="Garamond"/>
          <w:spacing w:val="1"/>
          <w:sz w:val="21"/>
          <w:szCs w:val="21"/>
        </w:rPr>
        <w:t xml:space="preserve">In T'ang art, representations of birds are also symbolic of happy </w:t>
      </w:r>
      <w:r>
        <w:rPr>
          <w:rFonts w:cs="Garamond" w:ascii="Garamond" w:hAnsi="Garamond"/>
          <w:sz w:val="21"/>
          <w:szCs w:val="21"/>
        </w:rPr>
        <w:t xml:space="preserve">marriage. Birds and flying geese depicted in pairs facing one another, </w:t>
      </w:r>
      <w:r>
        <w:rPr>
          <w:rFonts w:cs="Garamond" w:ascii="Garamond" w:hAnsi="Garamond"/>
          <w:spacing w:val="1"/>
          <w:sz w:val="21"/>
          <w:szCs w:val="21"/>
        </w:rPr>
        <w:t xml:space="preserve">though common in other mirrors of the period, are rather unusual in the elaborate sea horse and grape type. Perhaps this was a marriage </w:t>
      </w:r>
      <w:r>
        <w:rPr>
          <w:rFonts w:cs="Garamond" w:ascii="Garamond" w:hAnsi="Garamond"/>
          <w:sz w:val="21"/>
          <w:szCs w:val="21"/>
        </w:rPr>
        <w:t>mirror.</w:t>
      </w:r>
    </w:p>
    <w:p>
      <w:pPr>
        <w:pStyle w:val="Normal"/>
        <w:bidi w:val="0"/>
        <w:spacing w:lineRule="auto" w:line="288" w:before="36" w:after="0"/>
        <w:ind w:start="0" w:end="180" w:hanging="0"/>
        <w:jc w:val="end"/>
        <w:rPr/>
      </w:pPr>
      <w:r>
        <w:rPr>
          <w:rFonts w:cs="Garamond" w:ascii="Garamond" w:hAnsi="Garamond"/>
          <w:b/>
          <w:bCs/>
          <w:spacing w:val="6"/>
          <w:sz w:val="14"/>
          <w:szCs w:val="14"/>
        </w:rPr>
        <w:t>SHEILA RUBIN</w:t>
      </w:r>
    </w:p>
    <w:p>
      <w:pPr>
        <w:pStyle w:val="Normal"/>
        <w:bidi w:val="0"/>
        <w:spacing w:lineRule="auto" w:line="182" w:before="180" w:after="0"/>
        <w:ind w:start="0" w:end="0" w:firstLine="360"/>
        <w:rPr/>
      </w:pPr>
      <w:r>
        <w:rPr>
          <w:rFonts w:cs="Garamond" w:ascii="Garamond" w:hAnsi="Garamond"/>
          <w:spacing w:val="-7"/>
          <w:sz w:val="20"/>
          <w:szCs w:val="20"/>
        </w:rPr>
        <w:t xml:space="preserve">S. Cammann, "The Lion and Grape Patterns of Chinese Bronze Mirrors," </w:t>
      </w:r>
      <w:r>
        <w:rPr>
          <w:i/>
          <w:iCs/>
          <w:spacing w:val="-3"/>
          <w:sz w:val="19"/>
          <w:szCs w:val="19"/>
        </w:rPr>
        <w:t xml:space="preserve">Artibus Asiae, </w:t>
      </w:r>
      <w:r>
        <w:rPr>
          <w:rFonts w:cs="Garamond" w:ascii="Garamond" w:hAnsi="Garamond"/>
          <w:spacing w:val="-3"/>
          <w:sz w:val="20"/>
          <w:szCs w:val="20"/>
        </w:rPr>
        <w:t xml:space="preserve">XVI, 1953, </w:t>
      </w:r>
      <w:r>
        <w:rPr>
          <w:rFonts w:cs="Garamond" w:ascii="Garamond" w:hAnsi="Garamond"/>
          <w:spacing w:val="-3"/>
          <w:sz w:val="21"/>
          <w:szCs w:val="21"/>
        </w:rPr>
        <w:t>pp. 272ff.</w:t>
      </w:r>
    </w:p>
    <w:sectPr>
      <w:footerReference w:type="default" r:id="rId10"/>
      <w:footerReference w:type="first" r:id="rId11"/>
      <w:type w:val="nextPage"/>
      <w:pgSz w:w="7680" w:h="11509"/>
      <w:pgMar w:left="941" w:right="879" w:header="0" w:top="1020" w:footer="852" w:bottom="909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Garamond">
    <w:charset w:val="01" w:characterSet="utf-8"/>
    <w:family w:val="roman"/>
    <w:pitch w:val="variable"/>
  </w:font>
  <w:font w:name="Bookman Old Style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ind w:start="0" w:end="0" w:hanging="0"/>
      <w:jc w:val="start"/>
      <w:textAlignment w:val="auto"/>
      <w:rPr>
        <w:rFonts w:ascii="Times New Roman" w:hAnsi="Times New Roman" w:eastAsia="SimSun" w:cs="Times New Roman"/>
        <w:sz w:val="16"/>
        <w:szCs w:val="16"/>
        <w:lang w:val="en-US" w:eastAsia="zh-CN" w:bidi="ar-SA"/>
      </w:rPr>
    </w:pPr>
    <w:r>
      <w:rPr>
        <w:rFonts w:eastAsia="SimSun" w:cs="Times New Roman"/>
        <w:sz w:val="16"/>
        <w:szCs w:val="16"/>
        <w:lang w:val="en-US" w:eastAsia="zh-CN" w:bidi="ar-SA"/>
      </w:rPr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page">
                <wp:posOffset>586740</wp:posOffset>
              </wp:positionH>
              <wp:positionV relativeFrom="paragraph">
                <wp:posOffset>635</wp:posOffset>
              </wp:positionV>
              <wp:extent cx="6393815" cy="151130"/>
              <wp:effectExtent l="0" t="0" r="0" b="0"/>
              <wp:wrapSquare wrapText="bothSides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93815" cy="1511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bidi w:val="0"/>
                            <w:ind w:start="0" w:end="0" w:hanging="0"/>
                            <w:jc w:val="start"/>
                            <w:textAlignment w:val="auto"/>
                            <w:rPr/>
                          </w:pPr>
                          <w:hyperlink r:id="rId1">
                            <w:r>
                              <w:rPr>
                                <w:rStyle w:val="ListLabel5"/>
                                <w:rFonts w:eastAsia="SimSun" w:cs="Times New Roman"/>
                                <w:color w:val="0000FF"/>
                                <w:spacing w:val="-2"/>
                                <w:w w:val="105"/>
                                <w:sz w:val="20"/>
                                <w:szCs w:val="20"/>
                                <w:u w:val="single"/>
                                <w:lang w:val="en-US" w:eastAsia="zh-CN" w:bidi="ar-SA"/>
                              </w:rPr>
                              <w:t>http://www.jstor.org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03.45pt;height:11.9pt;mso-wrap-distance-left:0pt;mso-wrap-distance-right:0pt;mso-wrap-distance-top:5.7pt;mso-wrap-distance-bottom:5.7pt;margin-top:0pt;mso-position-vertical-relative:text;margin-left:46.2pt;mso-position-horizontal-relative:page"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bidi w:val="0"/>
                      <w:ind w:start="0" w:end="0" w:hanging="0"/>
                      <w:jc w:val="start"/>
                      <w:textAlignment w:val="auto"/>
                      <w:rPr/>
                    </w:pPr>
                    <w:hyperlink r:id="rId2">
                      <w:r>
                        <w:rPr>
                          <w:rStyle w:val="ListLabel5"/>
                          <w:rFonts w:eastAsia="SimSun" w:cs="Times New Roman"/>
                          <w:color w:val="0000FF"/>
                          <w:spacing w:val="-2"/>
                          <w:w w:val="105"/>
                          <w:sz w:val="20"/>
                          <w:szCs w:val="20"/>
                          <w:u w:val="single"/>
                          <w:lang w:val="en-US" w:eastAsia="zh-CN" w:bidi="ar-SA"/>
                        </w:rPr>
                        <w:t>http://www.jstor.org</w:t>
                      </w:r>
                    </w:hyperlink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ind w:start="0" w:end="0" w:hanging="0"/>
      <w:jc w:val="start"/>
      <w:textAlignment w:val="auto"/>
      <w:rPr>
        <w:rFonts w:ascii="Times New Roman" w:hAnsi="Times New Roman" w:eastAsia="SimSun" w:cs="Times New Roman"/>
        <w:sz w:val="16"/>
        <w:szCs w:val="16"/>
        <w:lang w:val="en-US" w:eastAsia="zh-CN" w:bidi="ar-SA"/>
      </w:rPr>
    </w:pPr>
    <w:r>
      <w:rPr>
        <w:rFonts w:eastAsia="SimSun" w:cs="Times New Roman"/>
        <w:sz w:val="16"/>
        <w:szCs w:val="16"/>
        <w:lang w:val="en-US" w:eastAsia="zh-CN" w:bidi="ar-SA"/>
      </w:rPr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page">
                <wp:posOffset>618490</wp:posOffset>
              </wp:positionH>
              <wp:positionV relativeFrom="paragraph">
                <wp:posOffset>635</wp:posOffset>
              </wp:positionV>
              <wp:extent cx="3639185" cy="167005"/>
              <wp:effectExtent l="0" t="0" r="0" b="0"/>
              <wp:wrapSquare wrapText="bothSides"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39185" cy="1670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bidi w:val="0"/>
                            <w:ind w:start="2808" w:end="0" w:hanging="0"/>
                            <w:jc w:val="start"/>
                            <w:textAlignment w:val="auto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SimSun" w:cs="Garamond" w:ascii="Garamond" w:hAnsi="Garamond"/>
                              <w:b/>
                              <w:bCs/>
                              <w:sz w:val="23"/>
                              <w:szCs w:val="23"/>
                              <w:lang w:val="en-US" w:eastAsia="zh-CN" w:bidi="ar-SA"/>
                            </w:rPr>
                            <w:t>58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86.55pt;height:13.15pt;mso-wrap-distance-left:0pt;mso-wrap-distance-right:0pt;mso-wrap-distance-top:5.7pt;mso-wrap-distance-bottom:5.7pt;margin-top:0pt;mso-position-vertical-relative:text;margin-left:48.7pt;mso-position-horizontal-relative:page"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bidi w:val="0"/>
                      <w:ind w:start="2808" w:end="0" w:hanging="0"/>
                      <w:jc w:val="start"/>
                      <w:textAlignment w:val="auto"/>
                      <w:rPr>
                        <w:lang w:val="en-US"/>
                      </w:rPr>
                    </w:pPr>
                    <w:r>
                      <w:rPr>
                        <w:rFonts w:eastAsia="SimSun" w:cs="Garamond" w:ascii="Garamond" w:hAnsi="Garamond"/>
                        <w:b/>
                        <w:bCs/>
                        <w:sz w:val="23"/>
                        <w:szCs w:val="23"/>
                        <w:lang w:val="en-US" w:eastAsia="zh-CN" w:bidi="ar-SA"/>
                      </w:rPr>
                      <w:t>58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ind w:start="0" w:end="0" w:hanging="0"/>
      <w:jc w:val="start"/>
      <w:textAlignment w:val="auto"/>
      <w:rPr>
        <w:rFonts w:ascii="Times New Roman" w:hAnsi="Times New Roman" w:eastAsia="SimSun" w:cs="Times New Roman"/>
        <w:sz w:val="24"/>
        <w:szCs w:val="24"/>
        <w:lang w:val="en-US" w:eastAsia="zh-CN" w:bidi="ar-SA"/>
      </w:rPr>
    </w:pPr>
    <w:r>
      <w:rPr>
        <w:rFonts w:eastAsia="SimSun" w:cs="Times New Roman"/>
        <w:sz w:val="24"/>
        <w:szCs w:val="24"/>
        <w:lang w:val="en-US" w:eastAsia="zh-CN" w:bidi="ar-SA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ind w:start="0" w:end="0" w:hanging="0"/>
      <w:jc w:val="start"/>
      <w:textAlignment w:val="auto"/>
      <w:rPr>
        <w:rFonts w:ascii="Times New Roman" w:hAnsi="Times New Roman" w:eastAsia="SimSun" w:cs="Times New Roman"/>
        <w:sz w:val="24"/>
        <w:szCs w:val="24"/>
        <w:lang w:val="en-US" w:eastAsia="zh-CN" w:bidi="ar-SA"/>
      </w:rPr>
    </w:pPr>
    <w:r>
      <w:rPr>
        <w:rFonts w:eastAsia="SimSun" w:cs="Times New Roman"/>
        <w:sz w:val="24"/>
        <w:szCs w:val="24"/>
        <w:lang w:val="en-US" w:eastAsia="zh-CN" w:bidi="ar-SA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2827" w:leader="none"/>
      </w:tabs>
      <w:bidi w:val="0"/>
      <w:ind w:start="0" w:end="0" w:hanging="0"/>
      <w:jc w:val="start"/>
      <w:textAlignment w:val="auto"/>
      <w:rPr>
        <w:lang w:val="en-US"/>
      </w:rPr>
    </w:pPr>
    <w:r>
      <w:rPr>
        <w:rFonts w:eastAsia="SimSun" w:cs="Times New Roman"/>
        <w:sz w:val="24"/>
        <w:szCs w:val="24"/>
        <w:lang w:val="en-US" w:eastAsia="zh-CN" w:bidi="ar-SA"/>
      </w:rPr>
      <w:tab/>
    </w:r>
    <w:r>
      <w:rPr>
        <w:rFonts w:eastAsia="SimSun" w:cs="Bookman Old Style" w:ascii="Bookman Old Style" w:hAnsi="Bookman Old Style"/>
        <w:w w:val="95"/>
        <w:sz w:val="20"/>
        <w:szCs w:val="20"/>
        <w:lang w:val="en-US" w:eastAsia="zh-CN" w:bidi="ar-SA"/>
      </w:rPr>
      <w:t>64</w:t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start"/>
      <w:textAlignment w:val="auto"/>
    </w:pPr>
    <w:rPr>
      <w:rFonts w:ascii="Times New Roman" w:hAnsi="Times New Roman" w:eastAsia="SimSun" w:cs="Times New Roman"/>
      <w:color w:val="auto"/>
      <w:kern w:val="2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color w:val="0000FF"/>
      <w:spacing w:val="2"/>
      <w:w w:val="105"/>
      <w:sz w:val="22"/>
      <w:szCs w:val="22"/>
      <w:u w:val="single"/>
    </w:rPr>
  </w:style>
  <w:style w:type="character" w:styleId="ListLabel2">
    <w:name w:val="ListLabel 2"/>
    <w:qFormat/>
    <w:rPr>
      <w:color w:val="0000FF"/>
      <w:spacing w:val="2"/>
      <w:w w:val="110"/>
      <w:sz w:val="22"/>
      <w:szCs w:val="22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qFormat/>
    <w:rPr>
      <w:color w:val="0000FF"/>
      <w:spacing w:val="-3"/>
      <w:w w:val="105"/>
      <w:sz w:val="20"/>
      <w:szCs w:val="20"/>
      <w:u w:val="single"/>
    </w:rPr>
  </w:style>
  <w:style w:type="character" w:styleId="ListLabel4">
    <w:name w:val="ListLabel 4"/>
    <w:qFormat/>
    <w:rPr>
      <w:color w:val="0000FF"/>
      <w:spacing w:val="-4"/>
      <w:w w:val="105"/>
      <w:sz w:val="20"/>
      <w:szCs w:val="20"/>
      <w:u w:val="single"/>
    </w:rPr>
  </w:style>
  <w:style w:type="character" w:styleId="ListLabel5">
    <w:name w:val="ListLabel 5"/>
    <w:qFormat/>
    <w:rPr>
      <w:rFonts w:ascii="Times New Roman" w:hAnsi="Times New Roman" w:eastAsia="SimSun" w:cs="Times New Roman"/>
      <w:color w:val="0000FF"/>
      <w:spacing w:val="-2"/>
      <w:w w:val="105"/>
      <w:sz w:val="20"/>
      <w:szCs w:val="20"/>
      <w:u w:val="single"/>
      <w:lang w:val="en-US" w:eastAsia="zh-CN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DocumentMap">
    <w:name w:val="DocumentMap"/>
    <w:qFormat/>
    <w:pPr>
      <w:widowControl/>
      <w:bidi w:val="0"/>
      <w:jc w:val="start"/>
      <w:textAlignment w:val="auto"/>
    </w:pPr>
    <w:rPr>
      <w:rFonts w:ascii="Times New Roman" w:hAnsi="Times New Roman" w:eastAsia="SimSun" w:cs="Times New Roman"/>
      <w:color w:val="auto"/>
      <w:kern w:val="2"/>
      <w:sz w:val="20"/>
      <w:szCs w:val="20"/>
      <w:lang w:val="en-US" w:eastAsia="en-US" w:bidi="hi-IN"/>
    </w:rPr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stor.org/stable/4301286" TargetMode="External"/><Relationship Id="rId3" Type="http://schemas.openxmlformats.org/officeDocument/2006/relationships/hyperlink" Target="http://www.jstor.org/page/info/about/policies/terms.jsp" TargetMode="External"/><Relationship Id="rId4" Type="http://schemas.openxmlformats.org/officeDocument/2006/relationships/hyperlink" Target="mailto:support@jstor.org" TargetMode="Externa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jstor.org/" TargetMode="External"/><Relationship Id="rId2" Type="http://schemas.openxmlformats.org/officeDocument/2006/relationships/hyperlink" Target="http://www.jstor.org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LibreOffice/6.1.4.2$MacOSX_X86_64 LibreOffice_project/9d0f32d1f0b509096fd65e0d4bec26ddd1938fd3</Application>
  <Pages>99</Pages>
  <Words>829</Words>
  <Characters>5545</Characters>
  <CharactersWithSpaces>4727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2012-05-11T08:02:00Z</dcterms:created>
  <dc:creator>USER</dc:creator>
  <dc:description/>
  <dc:language>en-US</dc:language>
  <cp:lastModifiedBy/>
  <dcterms:modified xsi:type="dcterms:W3CDTF">2012-05-11T16:40:00Z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USER</vt:lpwstr>
  </property>
</Properties>
</file>