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91"/>
        <w:rPr>
          <w:spacing w:val="1"/>
          <w:sz w:val="28"/>
          <w:szCs w:val="28"/>
        </w:rPr>
      </w:pPr>
      <w:r>
        <w:rPr>
          <w:spacing w:val="1"/>
          <w:sz w:val="28"/>
          <w:szCs w:val="28"/>
        </w:rPr>
        <w:t>Asia-China-Mirror-8 Leaf-Arc-Beast</w:t>
      </w:r>
    </w:p>
    <w:p>
      <w:pPr>
        <w:pStyle w:val="Normal"/>
        <w:spacing w:lineRule="exact" w:line="291"/>
        <w:rPr>
          <w:spacing w:val="1"/>
          <w:sz w:val="28"/>
          <w:szCs w:val="28"/>
        </w:rPr>
      </w:pPr>
      <w:r>
        <w:rPr>
          <w:spacing w:val="1"/>
          <w:sz w:val="28"/>
          <w:szCs w:val="28"/>
        </w:rPr>
      </w:r>
    </w:p>
    <w:p>
      <w:pPr>
        <w:pStyle w:val="Normal"/>
        <w:spacing w:lineRule="exact" w:line="291"/>
        <w:rPr/>
      </w:pPr>
      <w:r>
        <w:rPr>
          <w:rFonts w:cs="Arial" w:ascii="Arial" w:hAnsi="Arial"/>
          <w:b/>
          <w:bCs/>
          <w:smallCaps/>
          <w:spacing w:val="1"/>
          <w:szCs w:val="28"/>
        </w:rPr>
        <w:t xml:space="preserve">Mirror, </w:t>
      </w:r>
      <w:r>
        <w:rPr>
          <w:rFonts w:cs="Arial" w:ascii="Arial" w:hAnsi="Arial"/>
          <w:b/>
          <w:bCs/>
          <w:smallCaps/>
          <w:spacing w:val="-2"/>
          <w:szCs w:val="23"/>
        </w:rPr>
        <w:t xml:space="preserve">Early Western Han dynasty </w:t>
      </w:r>
      <w:r>
        <w:rPr>
          <w:rFonts w:cs="Arial" w:ascii="Arial" w:hAnsi="Arial"/>
          <w:b/>
          <w:bCs/>
          <w:smallCaps/>
          <w:spacing w:val="-10"/>
          <w:szCs w:val="23"/>
        </w:rPr>
        <w:t xml:space="preserve">(206 BCE-9 CE). </w:t>
      </w:r>
    </w:p>
    <w:p>
      <w:pPr>
        <w:pStyle w:val="Normal"/>
        <w:rPr/>
      </w:pPr>
      <w:r>
        <w:rPr>
          <w:rFonts w:cs="Arial" w:ascii="Arial" w:hAnsi="Arial"/>
          <w:b/>
          <w:bCs/>
          <w:spacing w:val="3"/>
          <w:sz w:val="20"/>
          <w:szCs w:val="23"/>
        </w:rPr>
        <w:t>Originally white metal, but now gray-black.</w:t>
      </w:r>
      <w:r>
        <w:rPr>
          <w:rFonts w:cs="Arial" w:ascii="Arial" w:hAnsi="Arial"/>
          <w:b/>
          <w:bCs/>
          <w:spacing w:val="2"/>
          <w:sz w:val="20"/>
          <w:szCs w:val="23"/>
        </w:rPr>
        <w:t xml:space="preserve"> Design: 16 continuous rim arcs, </w:t>
      </w:r>
      <w:r>
        <w:rPr>
          <w:rFonts w:cs="Arial" w:ascii="Arial" w:hAnsi="Arial"/>
          <w:b/>
          <w:bCs/>
          <w:spacing w:val="-5"/>
          <w:sz w:val="20"/>
          <w:szCs w:val="23"/>
        </w:rPr>
        <w:t xml:space="preserve">inner square and 8 leaves (caoye); 4 nipples at the cardinal directions, mythical beast at the central knob. </w:t>
      </w:r>
      <w:r>
        <w:rPr>
          <w:rFonts w:cs="Arial" w:ascii="Arial" w:hAnsi="Arial"/>
          <w:b/>
          <w:bCs/>
          <w:sz w:val="20"/>
          <w:szCs w:val="23"/>
        </w:rPr>
        <w:t>Eight leaf, 16 arc and 4 nipple configurations, which appeared at the end of the Warring States period, depict a cosmological scheme: the</w:t>
      </w:r>
      <w:r>
        <w:rPr>
          <w:rFonts w:cs="Arial" w:ascii="Arial" w:hAnsi="Arial"/>
          <w:b/>
          <w:bCs/>
          <w:spacing w:val="-2"/>
          <w:sz w:val="20"/>
          <w:szCs w:val="23"/>
        </w:rPr>
        <w:t xml:space="preserve"> arcs indicate the sun's cycle, and the nipples indicate the cardinal points of the compass to point the way. </w:t>
      </w:r>
    </w:p>
    <w:p>
      <w:pPr>
        <w:pStyle w:val="Normal"/>
        <w:rPr/>
      </w:pPr>
      <w:r>
        <w:rPr>
          <w:rFonts w:cs="Arial" w:ascii="Arial" w:hAnsi="Arial"/>
          <w:b/>
          <w:bCs/>
          <w:spacing w:val="-2"/>
          <w:sz w:val="20"/>
          <w:szCs w:val="23"/>
        </w:rPr>
        <w:t>There are also 16 designs on either side of the four cardinal bosses. These have been interpreted as either "birds with spread wings" (</w:t>
      </w:r>
      <w:r>
        <w:rPr/>
        <w:t xml:space="preserve">Swallow (1977:44)  or as "a  'caoye', or grass and leaf, pattern ... defined by the symmetrical motif resembling an ear of corn"  (Menzies 2003:74). It has also been suggested that </w:t>
      </w:r>
      <w:r>
        <w:rPr>
          <w:rFonts w:cs="Arial" w:ascii="Arial" w:hAnsi="Arial"/>
          <w:b/>
          <w:bCs/>
          <w:spacing w:val="-2"/>
          <w:sz w:val="20"/>
          <w:szCs w:val="23"/>
        </w:rPr>
        <w:t xml:space="preserve">the leaf designs may be derived from the Shang </w:t>
      </w:r>
      <w:r>
        <w:rPr>
          <w:rFonts w:cs="Arial" w:ascii="Arial" w:hAnsi="Arial"/>
          <w:b/>
          <w:bCs/>
          <w:i/>
          <w:iCs/>
          <w:spacing w:val="-2"/>
          <w:sz w:val="20"/>
          <w:szCs w:val="20"/>
        </w:rPr>
        <w:t xml:space="preserve">taotie </w:t>
      </w:r>
      <w:r>
        <w:rPr>
          <w:rFonts w:ascii="Arial" w:hAnsi="Arial" w:cs="Arial"/>
          <w:spacing w:val="-2"/>
          <w:sz w:val="28"/>
          <w:szCs w:val="20"/>
        </w:rPr>
        <w:t>饕餮</w:t>
      </w:r>
      <w:r>
        <w:rPr>
          <w:rFonts w:ascii="Arial" w:hAnsi="Arial" w:cs="Arial" w:eastAsia="Arial"/>
          <w:spacing w:val="-2"/>
          <w:sz w:val="28"/>
          <w:szCs w:val="20"/>
        </w:rPr>
        <w:t xml:space="preserve"> </w:t>
      </w:r>
      <w:r>
        <w:rPr>
          <w:rFonts w:cs="Arial" w:ascii="Arial" w:hAnsi="Arial"/>
          <w:spacing w:val="-2"/>
          <w:sz w:val="28"/>
          <w:szCs w:val="20"/>
        </w:rPr>
        <w:t xml:space="preserve">, all-devouring </w:t>
      </w:r>
      <w:r>
        <w:rPr>
          <w:rFonts w:cs="Arial" w:ascii="Arial" w:hAnsi="Arial"/>
          <w:spacing w:val="-2"/>
          <w:sz w:val="20"/>
          <w:szCs w:val="23"/>
        </w:rPr>
        <w:t>b</w:t>
      </w:r>
      <w:r>
        <w:rPr>
          <w:rFonts w:cs="Arial" w:ascii="Arial" w:hAnsi="Arial"/>
          <w:b/>
          <w:bCs/>
          <w:spacing w:val="-2"/>
          <w:sz w:val="20"/>
          <w:szCs w:val="23"/>
        </w:rPr>
        <w:t>east, suggesting a mysterious communication with Shang Ti (heaven's order).</w:t>
      </w:r>
    </w:p>
    <w:p>
      <w:pPr>
        <w:pStyle w:val="Normal"/>
        <w:rPr>
          <w:rFonts w:ascii="Arial" w:hAnsi="Arial" w:cs="Arial"/>
          <w:b/>
          <w:b/>
          <w:bCs/>
          <w:spacing w:val="-2"/>
          <w:sz w:val="20"/>
          <w:szCs w:val="23"/>
        </w:rPr>
      </w:pPr>
      <w:r>
        <w:rPr>
          <w:rFonts w:cs="Arial" w:ascii="Arial" w:hAnsi="Arial"/>
          <w:b/>
          <w:bCs/>
          <w:spacing w:val="-2"/>
          <w:sz w:val="20"/>
          <w:szCs w:val="23"/>
        </w:rPr>
      </w:r>
    </w:p>
    <w:p>
      <w:pPr>
        <w:pStyle w:val="Normal"/>
        <w:rPr/>
      </w:pPr>
      <w:r>
        <w:rPr>
          <w:rFonts w:cs="Arial" w:ascii="Arial" w:hAnsi="Arial"/>
          <w:b/>
          <w:bCs/>
          <w:spacing w:val="-2"/>
          <w:sz w:val="20"/>
          <w:szCs w:val="23"/>
        </w:rPr>
        <w:t xml:space="preserve">The square central motif recalls a Ch'in brick according to </w:t>
      </w:r>
      <w:r>
        <w:rPr/>
        <w:t xml:space="preserve">Swallow (1977:44) </w:t>
      </w:r>
      <w:r>
        <w:rPr>
          <w:rFonts w:cs="Arial" w:ascii="Arial" w:hAnsi="Arial"/>
          <w:b/>
          <w:bCs/>
          <w:spacing w:val="-2"/>
          <w:sz w:val="20"/>
          <w:szCs w:val="23"/>
        </w:rPr>
        <w:t xml:space="preserve">. The central square rests on four petals, while the outer square rests on 4 trefoils.  Each of the four cardinal bosses rest on one petal. </w:t>
      </w:r>
    </w:p>
    <w:p>
      <w:pPr>
        <w:pStyle w:val="Normal"/>
        <w:rPr>
          <w:rFonts w:ascii="Arial" w:hAnsi="Arial" w:cs="Arial"/>
          <w:b/>
          <w:b/>
          <w:bCs/>
          <w:spacing w:val="-2"/>
          <w:sz w:val="20"/>
          <w:szCs w:val="23"/>
        </w:rPr>
      </w:pPr>
      <w:r>
        <w:rPr>
          <w:rFonts w:cs="Arial" w:ascii="Arial" w:hAnsi="Arial"/>
          <w:b/>
          <w:bCs/>
          <w:spacing w:val="-2"/>
          <w:sz w:val="20"/>
          <w:szCs w:val="23"/>
        </w:rPr>
      </w:r>
    </w:p>
    <w:p>
      <w:pPr>
        <w:pStyle w:val="Normal"/>
        <w:rPr/>
      </w:pPr>
      <w:r>
        <w:rPr>
          <w:rFonts w:cs="Arial" w:ascii="Arial" w:hAnsi="Arial"/>
          <w:b/>
          <w:bCs/>
          <w:spacing w:val="-2"/>
          <w:sz w:val="20"/>
          <w:szCs w:val="23"/>
        </w:rPr>
        <w:t xml:space="preserve">These design elements are consistent with the eight-character inscription: </w:t>
      </w:r>
      <w:r>
        <w:rPr>
          <w:rFonts w:cs="Arial" w:ascii="Arial" w:hAnsi="Arial"/>
          <w:b/>
          <w:bCs/>
          <w:sz w:val="20"/>
        </w:rPr>
        <w:t xml:space="preserve">" May one's vision be enlightened by the sun, with the heavens as a guide. May one's vision mature in harmony with the great panorama [of the cosmos]." </w:t>
      </w:r>
      <w:r>
        <w:rPr/>
        <w:t>Swallow (1977:32) translated the inscription as " See the Sun's light, the Earth's great brightness." On p. 44 the same inscription is translated as: "See the Sun's light which brightens the whole world." We have emphasized the hortatory nature of the inscription that beseeches the viewer to reflect on the wonder of the sun as it enlivens the world around, as the viewer matures in harmony with the scene. Menzies (2003:74) has another interpretation: "may you see the light of the sun and may the world enjoy great lightness." This could be either cosmogonic or political in meaning, or both. Swallow (1977:44)  mentioned that the Sun's light may be a reference to the emperor.</w:t>
      </w:r>
    </w:p>
    <w:p>
      <w:pPr>
        <w:pStyle w:val="Normal"/>
        <w:rPr>
          <w:rFonts w:ascii="Arial" w:hAnsi="Arial" w:cs="Arial"/>
          <w:b/>
          <w:b/>
          <w:bCs/>
          <w:sz w:val="20"/>
        </w:rPr>
      </w:pPr>
      <w:r>
        <w:rPr>
          <w:rFonts w:cs="Arial" w:ascii="Arial" w:hAnsi="Arial"/>
          <w:b/>
          <w:bCs/>
          <w:sz w:val="20"/>
        </w:rPr>
      </w:r>
    </w:p>
    <w:p>
      <w:pPr>
        <w:pStyle w:val="Normal"/>
        <w:rPr/>
      </w:pPr>
      <w:r>
        <w:rPr>
          <w:rFonts w:cs="Arial" w:ascii="Arial" w:hAnsi="Arial"/>
          <w:b/>
          <w:bCs/>
          <w:sz w:val="20"/>
        </w:rPr>
        <w:t xml:space="preserve">The design also </w:t>
      </w:r>
      <w:r>
        <w:rPr>
          <w:rFonts w:cs="Arial" w:ascii="Arial" w:hAnsi="Arial"/>
          <w:b/>
          <w:bCs/>
          <w:spacing w:val="-2"/>
          <w:sz w:val="20"/>
          <w:szCs w:val="23"/>
        </w:rPr>
        <w:t xml:space="preserve">presages the celestial pattern </w:t>
      </w:r>
      <w:r>
        <w:rPr>
          <w:rFonts w:cs="Arial" w:ascii="Arial" w:hAnsi="Arial"/>
          <w:b/>
          <w:bCs/>
          <w:spacing w:val="-1"/>
          <w:sz w:val="20"/>
          <w:szCs w:val="23"/>
        </w:rPr>
        <w:t xml:space="preserve">of the </w:t>
      </w:r>
      <w:r>
        <w:rPr>
          <w:rFonts w:cs="Arial" w:ascii="Arial" w:hAnsi="Arial"/>
          <w:b/>
          <w:bCs/>
          <w:i/>
          <w:iCs/>
          <w:spacing w:val="-1"/>
          <w:sz w:val="20"/>
          <w:szCs w:val="20"/>
        </w:rPr>
        <w:t xml:space="preserve">liubo </w:t>
      </w:r>
      <w:r>
        <w:rPr>
          <w:rFonts w:cs="Arial" w:ascii="Arial" w:hAnsi="Arial"/>
          <w:b/>
          <w:bCs/>
          <w:spacing w:val="-1"/>
          <w:sz w:val="20"/>
          <w:szCs w:val="23"/>
        </w:rPr>
        <w:t xml:space="preserve">gaming board and the "TLV" design of the later Western Han dynasty, placing this mirror at about 100 BCE. A very similar mirror dated to the same period is in the </w:t>
      </w:r>
      <w:r>
        <w:rPr>
          <w:rFonts w:cs="Arial" w:ascii="Arial" w:hAnsi="Arial"/>
          <w:b/>
          <w:bCs/>
          <w:sz w:val="20"/>
        </w:rPr>
        <w:t xml:space="preserve">Art Gallery of New South Wales  (Menzies 2003: 74). A similar mirror (with </w:t>
      </w:r>
      <w:r>
        <w:rPr>
          <w:rFonts w:cs="Arial" w:ascii="Arial" w:hAnsi="Arial"/>
          <w:b/>
          <w:bCs/>
          <w:spacing w:val="2"/>
          <w:sz w:val="20"/>
          <w:szCs w:val="23"/>
        </w:rPr>
        <w:t xml:space="preserve">16 continuous rim arcs, </w:t>
      </w:r>
      <w:r>
        <w:rPr>
          <w:rFonts w:cs="Arial" w:ascii="Arial" w:hAnsi="Arial"/>
          <w:b/>
          <w:bCs/>
          <w:spacing w:val="-5"/>
          <w:sz w:val="20"/>
          <w:szCs w:val="23"/>
        </w:rPr>
        <w:t xml:space="preserve">inner square and 8 leaves) </w:t>
      </w:r>
      <w:r>
        <w:rPr>
          <w:rFonts w:cs="Arial" w:ascii="Arial" w:hAnsi="Arial"/>
          <w:b/>
          <w:bCs/>
          <w:sz w:val="20"/>
        </w:rPr>
        <w:t>is in the Donald H. Graham, Jr., Collection. It differs since it adds the "L" of the "TLV" design element, which dates it to the later Western Han dynasty (Nakano 1994: 112-113). Another, very similar example is also in the Beijing National Palace Museum (National Palace Museum 1986: 72-73) where the inscription is mere presented but not expanded.</w:t>
      </w:r>
    </w:p>
    <w:p>
      <w:pPr>
        <w:pStyle w:val="Normal"/>
        <w:rPr>
          <w:rFonts w:ascii="Arial" w:hAnsi="Arial" w:cs="Arial"/>
          <w:b/>
          <w:b/>
          <w:bCs/>
          <w:sz w:val="20"/>
        </w:rPr>
      </w:pPr>
      <w:r>
        <w:rPr>
          <w:rFonts w:cs="Arial" w:ascii="Arial" w:hAnsi="Arial"/>
          <w:b/>
          <w:bCs/>
          <w:sz w:val="20"/>
        </w:rPr>
      </w:r>
    </w:p>
    <w:tbl>
      <w:tblPr>
        <w:tblW w:w="10162" w:type="dxa"/>
        <w:jc w:val="start"/>
        <w:tblInd w:w="-113"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2538"/>
        <w:gridCol w:w="2538"/>
        <w:gridCol w:w="2538"/>
        <w:gridCol w:w="2548"/>
      </w:tblGrid>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Fonts w:cs="Arial" w:ascii="Arial" w:hAnsi="Arial"/>
                <w:b/>
                <w:bCs/>
                <w:spacing w:val="-1"/>
                <w:sz w:val="20"/>
                <w:szCs w:val="23"/>
              </w:rPr>
              <w:t>Left  line (West)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Fonts w:cs="Arial" w:ascii="Arial" w:hAnsi="Arial"/>
                <w:b/>
                <w:bCs/>
                <w:spacing w:val="-1"/>
                <w:sz w:val="20"/>
                <w:szCs w:val="23"/>
              </w:rPr>
              <w:t>Right line (East)</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Fonts w:cs="Arial" w:ascii="Arial" w:hAnsi="Arial"/>
                <w:b/>
                <w:bCs/>
                <w:spacing w:val="-1"/>
                <w:sz w:val="20"/>
                <w:szCs w:val="23"/>
              </w:rPr>
              <w:t>Top line (North)</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snapToGrid w:val="false"/>
              <w:rPr>
                <w:rFonts w:ascii="Arial" w:hAnsi="Arial" w:cs="Arial"/>
                <w:b/>
                <w:b/>
                <w:bCs/>
                <w:spacing w:val="-1"/>
                <w:sz w:val="20"/>
                <w:szCs w:val="23"/>
              </w:rPr>
            </w:pPr>
            <w:r>
              <w:rPr>
                <w:rFonts w:cs="Arial" w:ascii="Arial" w:hAnsi="Arial"/>
                <w:b/>
                <w:bCs/>
                <w:spacing w:val="-1"/>
                <w:sz w:val="20"/>
                <w:szCs w:val="23"/>
              </w:rPr>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Fonts w:ascii="Arial" w:hAnsi="Arial" w:cs="Arial"/>
                <w:b/>
                <w:bCs/>
                <w:sz w:val="20"/>
              </w:rPr>
              <w:t>日</w:t>
            </w:r>
            <w:r>
              <w:rPr>
                <w:rFonts w:ascii="Arial" w:hAnsi="Arial" w:cs="Arial" w:eastAsia="Arial"/>
                <w:b/>
                <w:bCs/>
                <w:sz w:val="20"/>
              </w:rPr>
              <w:t xml:space="preserve">   </w:t>
            </w:r>
            <w:r>
              <w:rPr>
                <w:rFonts w:cs="Arial" w:ascii="Arial" w:hAnsi="Arial"/>
                <w:b/>
                <w:bCs/>
                <w:sz w:val="20"/>
              </w:rPr>
              <w:t>be enlightened by the sun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Style w:val="Shorttext"/>
                <w:rFonts w:ascii="Arial" w:hAnsi="Arial" w:cs="Arial"/>
                <w:b/>
                <w:bCs/>
                <w:sz w:val="20"/>
                <w:lang w:eastAsia="zh-TW"/>
              </w:rPr>
              <w:t>天</w:t>
            </w:r>
            <w:r>
              <w:rPr>
                <w:rStyle w:val="Shorttext"/>
                <w:rFonts w:ascii="Arial" w:hAnsi="Arial" w:cs="Arial" w:eastAsia="Arial"/>
                <w:b/>
                <w:bCs/>
                <w:sz w:val="20"/>
                <w:lang w:eastAsia="zh-TW"/>
              </w:rPr>
              <w:t xml:space="preserve">   </w:t>
            </w:r>
            <w:r>
              <w:rPr>
                <w:rStyle w:val="Shorttext"/>
                <w:rFonts w:cs="Arial" w:ascii="Arial" w:hAnsi="Arial"/>
                <w:b/>
                <w:bCs/>
                <w:sz w:val="20"/>
                <w:lang w:eastAsia="zh-TW"/>
              </w:rPr>
              <w:t>with the heavens</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Arial" w:hAnsi="Arial" w:cs="Arial"/>
                <w:b/>
                <w:bCs/>
                <w:sz w:val="20"/>
              </w:rPr>
              <w:t>己</w:t>
            </w:r>
            <w:r>
              <w:rPr>
                <w:rFonts w:ascii="Arial" w:hAnsi="Arial" w:cs="Arial" w:eastAsia="Arial"/>
                <w:b/>
                <w:bCs/>
                <w:sz w:val="20"/>
              </w:rPr>
              <w:t xml:space="preserve">  </w:t>
            </w:r>
            <w:r>
              <w:rPr>
                <w:rFonts w:cs="Arial" w:ascii="Arial" w:hAnsi="Arial"/>
                <w:b/>
                <w:bCs/>
                <w:spacing w:val="-1"/>
                <w:sz w:val="20"/>
                <w:szCs w:val="23"/>
              </w:rPr>
              <w:t xml:space="preserve">May one's </w:t>
            </w:r>
          </w:p>
          <w:p>
            <w:pPr>
              <w:pStyle w:val="Normal"/>
              <w:rPr>
                <w:rFonts w:ascii="Arial" w:hAnsi="Arial" w:cs="Arial"/>
                <w:b/>
                <w:b/>
                <w:bCs/>
                <w:spacing w:val="-1"/>
                <w:sz w:val="20"/>
                <w:szCs w:val="23"/>
              </w:rPr>
            </w:pPr>
            <w:r>
              <w:rPr>
                <w:rStyle w:val="Shorttext"/>
                <w:rFonts w:ascii="Arial" w:hAnsi="Arial" w:cs="Arial"/>
                <w:b/>
                <w:bCs/>
                <w:sz w:val="20"/>
                <w:lang w:eastAsia="zh-TW"/>
              </w:rPr>
              <w:t>火</w:t>
            </w:r>
            <w:r>
              <w:rPr>
                <w:rStyle w:val="Shorttext"/>
                <w:rFonts w:ascii="Arial" w:hAnsi="Arial" w:cs="Arial" w:eastAsia="Arial"/>
                <w:b/>
                <w:bCs/>
                <w:sz w:val="20"/>
                <w:lang w:eastAsia="zh-TW"/>
              </w:rPr>
              <w:t xml:space="preserve">  </w:t>
            </w:r>
            <w:r>
              <w:rPr>
                <w:rStyle w:val="Shorttext"/>
                <w:rFonts w:cs="Arial" w:ascii="Arial" w:hAnsi="Arial"/>
                <w:b/>
                <w:bCs/>
                <w:sz w:val="20"/>
                <w:lang w:eastAsia="zh-TW"/>
              </w:rPr>
              <w:t>vision [inverted]</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
                <w:b/>
                <w:bCs/>
                <w:spacing w:val="-1"/>
                <w:sz w:val="20"/>
                <w:szCs w:val="23"/>
              </w:rPr>
            </w:pPr>
            <w:r>
              <w:rPr>
                <w:rStyle w:val="Shorttext"/>
                <w:rFonts w:ascii="Arial" w:hAnsi="Arial" w:cs="Arial"/>
                <w:b/>
                <w:bCs/>
                <w:sz w:val="20"/>
                <w:lang w:eastAsia="zh-TW"/>
              </w:rPr>
              <w:t>大</w:t>
            </w:r>
            <w:r>
              <w:rPr>
                <w:rStyle w:val="Shorttext"/>
                <w:rFonts w:ascii="Arial" w:hAnsi="Arial" w:cs="Arial" w:eastAsia="Arial"/>
                <w:b/>
                <w:bCs/>
                <w:sz w:val="20"/>
                <w:lang w:eastAsia="zh-TW"/>
              </w:rPr>
              <w:t xml:space="preserve">   </w:t>
            </w:r>
            <w:r>
              <w:rPr>
                <w:rStyle w:val="Shorttext"/>
                <w:rFonts w:cs="Arial" w:ascii="Arial" w:hAnsi="Arial"/>
                <w:b/>
                <w:bCs/>
                <w:sz w:val="20"/>
                <w:lang w:eastAsia="zh-TW"/>
              </w:rPr>
              <w:t>with the great</w:t>
            </w:r>
          </w:p>
        </w:tc>
      </w:tr>
      <w:tr>
        <w:trPr/>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Fonts w:ascii="Arial" w:hAnsi="Arial" w:cs="Arial"/>
                <w:b/>
                <w:bCs/>
                <w:sz w:val="20"/>
              </w:rPr>
              <w:t>己</w:t>
            </w:r>
            <w:r>
              <w:rPr>
                <w:rFonts w:ascii="Arial" w:hAnsi="Arial" w:cs="Arial" w:eastAsia="Arial"/>
                <w:b/>
                <w:bCs/>
                <w:sz w:val="20"/>
              </w:rPr>
              <w:t xml:space="preserve">   </w:t>
            </w:r>
            <w:r>
              <w:rPr>
                <w:rFonts w:cs="Arial" w:ascii="Arial" w:hAnsi="Arial"/>
                <w:b/>
                <w:bCs/>
                <w:sz w:val="20"/>
              </w:rPr>
              <w:t xml:space="preserve">May one's </w:t>
            </w:r>
          </w:p>
          <w:p>
            <w:pPr>
              <w:pStyle w:val="Normal"/>
              <w:rPr>
                <w:rFonts w:ascii="Arial" w:hAnsi="Arial" w:cs="Arial"/>
                <w:b/>
                <w:b/>
                <w:bCs/>
                <w:spacing w:val="-1"/>
                <w:sz w:val="20"/>
                <w:szCs w:val="23"/>
              </w:rPr>
            </w:pPr>
            <w:r>
              <w:rPr>
                <w:rFonts w:ascii="Arial" w:hAnsi="Arial" w:cs="Arial"/>
                <w:b/>
                <w:bCs/>
                <w:sz w:val="20"/>
              </w:rPr>
              <w:t>目</w:t>
            </w:r>
            <w:r>
              <w:rPr>
                <w:rFonts w:ascii="Arial" w:hAnsi="Arial" w:cs="Arial" w:eastAsia="Arial"/>
                <w:b/>
                <w:bCs/>
                <w:sz w:val="20"/>
              </w:rPr>
              <w:t xml:space="preserve">   </w:t>
            </w:r>
            <w:r>
              <w:rPr>
                <w:rFonts w:cs="Arial" w:ascii="Arial" w:hAnsi="Arial"/>
                <w:b/>
                <w:bCs/>
                <w:sz w:val="20"/>
              </w:rPr>
              <w:t>vision</w:t>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pPr>
            <w:r>
              <w:rPr>
                <w:rStyle w:val="Shorttext"/>
                <w:rFonts w:ascii="Arial" w:hAnsi="Arial" w:cs="Arial"/>
                <w:b/>
                <w:bCs/>
                <w:sz w:val="20"/>
                <w:lang w:eastAsia="zh-TW"/>
              </w:rPr>
              <w:t>引</w:t>
            </w:r>
            <w:r>
              <w:rPr>
                <w:rStyle w:val="Shorttext"/>
                <w:rFonts w:ascii="Arial" w:hAnsi="Arial" w:cs="Arial" w:eastAsia="Arial"/>
                <w:b/>
                <w:bCs/>
                <w:sz w:val="20"/>
                <w:lang w:eastAsia="zh-TW"/>
              </w:rPr>
              <w:t xml:space="preserve">   </w:t>
            </w:r>
            <w:r>
              <w:rPr>
                <w:rStyle w:val="Shorttext"/>
                <w:rFonts w:cs="Arial" w:ascii="Arial" w:hAnsi="Arial"/>
                <w:b/>
                <w:bCs/>
                <w:sz w:val="20"/>
                <w:lang w:eastAsia="zh-TW"/>
              </w:rPr>
              <w:t>as a guide</w:t>
            </w:r>
          </w:p>
          <w:p>
            <w:pPr>
              <w:pStyle w:val="Normal"/>
              <w:rPr>
                <w:rStyle w:val="Shorttext"/>
                <w:rFonts w:ascii="Arial" w:hAnsi="Arial" w:cs="Arial"/>
                <w:b/>
                <w:b/>
                <w:bCs/>
                <w:spacing w:val="-1"/>
                <w:sz w:val="20"/>
                <w:szCs w:val="23"/>
                <w:lang w:eastAsia="zh-TW"/>
              </w:rPr>
            </w:pPr>
            <w:r>
              <w:rPr/>
            </w:r>
          </w:p>
        </w:tc>
        <w:tc>
          <w:tcPr>
            <w:tcW w:w="2538" w:type="dxa"/>
            <w:tcBorders>
              <w:top w:val="single" w:sz="4" w:space="0" w:color="000000"/>
              <w:start w:val="single" w:sz="4" w:space="0" w:color="000000"/>
              <w:bottom w:val="single" w:sz="4" w:space="0" w:color="000000"/>
              <w:insideH w:val="single" w:sz="4" w:space="0" w:color="000000"/>
            </w:tcBorders>
            <w:shd w:fill="auto" w:val="clear"/>
          </w:tcPr>
          <w:p>
            <w:pPr>
              <w:pStyle w:val="Normal"/>
              <w:rPr>
                <w:rFonts w:ascii="Arial" w:hAnsi="Arial" w:cs="Arial"/>
                <w:b/>
                <w:b/>
                <w:bCs/>
                <w:spacing w:val="-1"/>
                <w:sz w:val="20"/>
                <w:szCs w:val="23"/>
              </w:rPr>
            </w:pPr>
            <w:r>
              <w:rPr>
                <w:rFonts w:ascii="Arial" w:hAnsi="Arial" w:cs="Arial"/>
                <w:b/>
                <w:bCs/>
                <w:sz w:val="20"/>
              </w:rPr>
              <w:t>禾</w:t>
            </w:r>
            <w:r>
              <w:rPr>
                <w:rFonts w:ascii="Arial" w:hAnsi="Arial" w:cs="Arial" w:eastAsia="Arial"/>
                <w:b/>
                <w:bCs/>
                <w:sz w:val="20"/>
              </w:rPr>
              <w:t xml:space="preserve">   </w:t>
            </w:r>
            <w:r>
              <w:rPr>
                <w:rFonts w:cs="Arial" w:ascii="Arial" w:hAnsi="Arial"/>
                <w:b/>
                <w:bCs/>
                <w:sz w:val="20"/>
              </w:rPr>
              <w:t xml:space="preserve">mature in harmony </w:t>
            </w:r>
          </w:p>
        </w:tc>
        <w:tc>
          <w:tcPr>
            <w:tcW w:w="25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rFonts w:ascii="Arial" w:hAnsi="Arial" w:cs="Arial"/>
                <w:b/>
                <w:b/>
                <w:bCs/>
                <w:spacing w:val="-1"/>
                <w:sz w:val="20"/>
                <w:szCs w:val="23"/>
              </w:rPr>
            </w:pPr>
            <w:r>
              <w:rPr>
                <w:rFonts w:ascii="Arial" w:hAnsi="Arial" w:cs="Arial"/>
                <w:b/>
                <w:bCs/>
                <w:sz w:val="20"/>
              </w:rPr>
              <w:t>睊</w:t>
            </w:r>
            <w:r>
              <w:rPr>
                <w:rFonts w:ascii="Arial" w:hAnsi="Arial" w:cs="Arial" w:eastAsia="Arial"/>
                <w:b/>
                <w:bCs/>
                <w:sz w:val="20"/>
              </w:rPr>
              <w:t xml:space="preserve">   </w:t>
            </w:r>
            <w:r>
              <w:rPr>
                <w:rFonts w:cs="Arial" w:ascii="Arial" w:hAnsi="Arial"/>
                <w:b/>
                <w:bCs/>
                <w:sz w:val="20"/>
              </w:rPr>
              <w:t>panorama [of the cosmos]</w:t>
            </w:r>
          </w:p>
        </w:tc>
      </w:tr>
    </w:tbl>
    <w:p>
      <w:pPr>
        <w:pStyle w:val="Normal"/>
        <w:rPr>
          <w:rFonts w:ascii="Arial" w:hAnsi="Arial" w:cs="Arial"/>
          <w:b/>
          <w:b/>
          <w:bCs/>
          <w:spacing w:val="-1"/>
          <w:sz w:val="20"/>
          <w:szCs w:val="23"/>
        </w:rPr>
      </w:pPr>
      <w:r>
        <w:rPr>
          <w:rFonts w:cs="Arial" w:ascii="Arial" w:hAnsi="Arial"/>
          <w:b/>
          <w:bCs/>
          <w:spacing w:val="-1"/>
          <w:sz w:val="20"/>
          <w:szCs w:val="23"/>
        </w:rPr>
      </w:r>
    </w:p>
    <w:p>
      <w:pPr>
        <w:pStyle w:val="Normal"/>
        <w:jc w:val="center"/>
        <w:rPr/>
      </w:pPr>
      <w:r>
        <w:rPr/>
        <w:drawing>
          <wp:inline distT="0" distB="0" distL="0" distR="0">
            <wp:extent cx="4829175" cy="4714875"/>
            <wp:effectExtent l="0" t="0" r="0" b="0"/>
            <wp:docPr id="1"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4" descr="" title=""/>
                    <pic:cNvPicPr>
                      <a:picLocks noChangeAspect="1" noChangeArrowheads="1"/>
                    </pic:cNvPicPr>
                  </pic:nvPicPr>
                  <pic:blipFill>
                    <a:blip r:embed="rId2"/>
                    <a:srcRect l="-10" t="-10" r="-10" b="-10"/>
                    <a:stretch>
                      <a:fillRect/>
                    </a:stretch>
                  </pic:blipFill>
                  <pic:spPr bwMode="auto">
                    <a:xfrm>
                      <a:off x="0" y="0"/>
                      <a:ext cx="4829175" cy="4714875"/>
                    </a:xfrm>
                    <a:prstGeom prst="rect">
                      <a:avLst/>
                    </a:prstGeom>
                  </pic:spPr>
                </pic:pic>
              </a:graphicData>
            </a:graphic>
          </wp:inline>
        </w:drawing>
      </w:r>
    </w:p>
    <w:p>
      <w:pPr>
        <w:pStyle w:val="Normal"/>
        <w:jc w:val="center"/>
        <w:rPr/>
      </w:pPr>
      <w:r>
        <w:rPr/>
        <w:t>Mirror with 'caoye' design [1</w:t>
      </w:r>
      <w:hyperlink r:id="rId3">
        <w:r>
          <w:rPr>
            <w:rStyle w:val="InternetLink"/>
          </w:rPr>
          <w:t>st century BCE</w:t>
        </w:r>
      </w:hyperlink>
      <w:r>
        <w:rPr/>
        <w:t>], Atlantica Collection.</w:t>
      </w:r>
    </w:p>
    <w:p>
      <w:pPr>
        <w:pStyle w:val="Normal"/>
        <w:rPr>
          <w:rFonts w:ascii="Arial" w:hAnsi="Arial" w:cs="Arial"/>
          <w:b/>
          <w:b/>
          <w:bCs/>
          <w:sz w:val="20"/>
        </w:rPr>
      </w:pPr>
      <w:r>
        <w:rPr>
          <w:rFonts w:cs="Arial" w:ascii="Arial" w:hAnsi="Arial"/>
          <w:b/>
          <w:bCs/>
          <w:sz w:val="20"/>
        </w:rPr>
      </w:r>
    </w:p>
    <w:p>
      <w:pPr>
        <w:pStyle w:val="Normal"/>
        <w:jc w:val="center"/>
        <w:rPr/>
      </w:pPr>
      <w:r>
        <w:rPr/>
        <w:drawing>
          <wp:inline distT="0" distB="0" distL="0" distR="0">
            <wp:extent cx="4648200" cy="4638675"/>
            <wp:effectExtent l="0" t="0" r="0" b="0"/>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4"/>
                    <a:srcRect l="-10" t="-10" r="-10" b="-10"/>
                    <a:stretch>
                      <a:fillRect/>
                    </a:stretch>
                  </pic:blipFill>
                  <pic:spPr bwMode="auto">
                    <a:xfrm>
                      <a:off x="0" y="0"/>
                      <a:ext cx="4648200" cy="4638675"/>
                    </a:xfrm>
                    <a:prstGeom prst="rect">
                      <a:avLst/>
                    </a:prstGeom>
                  </pic:spPr>
                </pic:pic>
              </a:graphicData>
            </a:graphic>
          </wp:inline>
        </w:drawing>
      </w:r>
    </w:p>
    <w:p>
      <w:pPr>
        <w:pStyle w:val="Normal"/>
        <w:jc w:val="center"/>
        <w:rPr/>
      </w:pPr>
      <w:r>
        <w:rPr/>
        <w:t>Mirror with 'caoye' design [1</w:t>
      </w:r>
      <w:hyperlink r:id="rId5">
        <w:r>
          <w:rPr>
            <w:rStyle w:val="InternetLink"/>
          </w:rPr>
          <w:t>st century BCE</w:t>
        </w:r>
      </w:hyperlink>
      <w:r>
        <w:rPr/>
        <w:t xml:space="preserve">], </w:t>
      </w:r>
      <w:r>
        <w:rPr>
          <w:rFonts w:cs="Arial" w:ascii="Arial" w:hAnsi="Arial"/>
          <w:sz w:val="20"/>
        </w:rPr>
        <w:t>Art Gallery of New South Wales</w:t>
      </w:r>
      <w:r>
        <w:rPr>
          <w:rFonts w:cs="Arial" w:ascii="Arial" w:hAnsi="Arial"/>
          <w:i/>
          <w:iCs/>
          <w:sz w:val="20"/>
        </w:rPr>
        <w:t xml:space="preserve"> </w:t>
      </w:r>
      <w:r>
        <w:rPr/>
        <w:t>(Menzies 2003, p. 74).</w:t>
      </w:r>
    </w:p>
    <w:p>
      <w:pPr>
        <w:pStyle w:val="Normal"/>
        <w:rPr>
          <w:rFonts w:ascii="Arial" w:hAnsi="Arial" w:cs="Arial"/>
          <w:b/>
          <w:b/>
          <w:bCs/>
          <w:sz w:val="20"/>
        </w:rPr>
      </w:pPr>
      <w:r>
        <w:rPr>
          <w:rFonts w:cs="Arial" w:ascii="Arial" w:hAnsi="Arial"/>
          <w:b/>
          <w:bCs/>
          <w:sz w:val="20"/>
        </w:rPr>
      </w:r>
    </w:p>
    <w:p>
      <w:pPr>
        <w:pStyle w:val="Normal"/>
        <w:rPr/>
      </w:pPr>
      <w:r>
        <w:rPr>
          <w:rFonts w:cs="Arial" w:ascii="Arial" w:hAnsi="Arial"/>
          <w:sz w:val="20"/>
        </w:rPr>
        <w:t xml:space="preserve">References:  Toru Nakano, </w:t>
      </w:r>
      <w:r>
        <w:rPr>
          <w:rFonts w:cs="Arial" w:ascii="Arial" w:hAnsi="Arial"/>
          <w:i/>
          <w:iCs/>
          <w:sz w:val="20"/>
        </w:rPr>
        <w:t>Bronze Mirrors from Ancient China</w:t>
      </w:r>
      <w:r>
        <w:rPr>
          <w:rFonts w:cs="Arial" w:ascii="Arial" w:hAnsi="Arial"/>
          <w:sz w:val="20"/>
        </w:rPr>
        <w:t xml:space="preserve"> ([Hong Kong]: Orientations, 1994; Jacqueline Menzies, "Mirror with 'caoye' design [1</w:t>
      </w:r>
      <w:hyperlink r:id="rId6">
        <w:r>
          <w:rPr>
            <w:rStyle w:val="InternetLink"/>
            <w:rFonts w:cs="Arial" w:ascii="Arial" w:hAnsi="Arial"/>
            <w:sz w:val="20"/>
          </w:rPr>
          <w:t>st century BCE</w:t>
        </w:r>
      </w:hyperlink>
      <w:r>
        <w:rPr>
          <w:rFonts w:cs="Arial" w:ascii="Arial" w:hAnsi="Arial"/>
          <w:sz w:val="20"/>
        </w:rPr>
        <w:t xml:space="preserve">]," </w:t>
      </w:r>
      <w:r>
        <w:rPr>
          <w:rFonts w:cs="Arial" w:ascii="Arial" w:hAnsi="Arial"/>
          <w:i/>
          <w:iCs/>
          <w:sz w:val="20"/>
        </w:rPr>
        <w:t xml:space="preserve">The Asian Collections: Art Gallery of New South Wales </w:t>
      </w:r>
      <w:r>
        <w:rPr>
          <w:rFonts w:cs="Arial" w:ascii="Arial" w:hAnsi="Arial"/>
          <w:sz w:val="20"/>
        </w:rPr>
        <w:t>(</w:t>
      </w:r>
      <w:r>
        <w:rPr>
          <w:rStyle w:val="Itempublisher"/>
          <w:rFonts w:cs="Arial" w:ascii="Arial" w:hAnsi="Arial"/>
          <w:sz w:val="20"/>
        </w:rPr>
        <w:t>London : Thames &amp; Hudson, 2003</w:t>
      </w:r>
      <w:r>
        <w:rPr>
          <w:rFonts w:cs="Arial" w:ascii="Arial" w:hAnsi="Arial"/>
          <w:sz w:val="20"/>
        </w:rPr>
        <w:t>)</w:t>
      </w:r>
      <w:r>
        <w:rPr/>
        <w:t xml:space="preserve">; Robert W. Swallow, </w:t>
      </w:r>
      <w:r>
        <w:rPr>
          <w:i/>
          <w:iCs/>
        </w:rPr>
        <w:t>Ancient Chinese bronze mirrors</w:t>
      </w:r>
      <w:r>
        <w:rPr/>
        <w:t xml:space="preserve">. Rev. and enlarged ed. by Fred Belcher. Ann Arbor: Ars Ceramica, Ltd., 1977, p. 32; National Palace Museum </w:t>
      </w:r>
      <w:r>
        <w:rPr>
          <w:i/>
          <w:iCs/>
        </w:rPr>
        <w:t>Gu gong tong jing te zhan tu lu</w:t>
      </w:r>
      <w:r>
        <w:rPr/>
        <w:t xml:space="preserve"> = Catalogue of the special exhibition of bronze mirrors in the National Palace Museum (Taipei: Guo li go gu gong bo wu yuan, Minguo 75 [1986]). </w:t>
      </w:r>
    </w:p>
    <w:p>
      <w:pPr>
        <w:pStyle w:val="Normal"/>
        <w:rPr>
          <w:rFonts w:ascii="Arial" w:hAnsi="Arial" w:cs="Arial"/>
          <w:b/>
          <w:b/>
          <w:bCs/>
          <w:sz w:val="20"/>
        </w:rPr>
      </w:pPr>
      <w:r>
        <w:rPr>
          <w:rFonts w:cs="Arial" w:ascii="Arial" w:hAnsi="Arial"/>
          <w:b/>
          <w:bCs/>
          <w:sz w:val="2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Times New Roman"/>
      <w:spacing w:val="2"/>
      <w:sz w:val="23"/>
      <w:szCs w:val="23"/>
    </w:rPr>
  </w:style>
  <w:style w:type="character" w:styleId="DefaultParagraphFont">
    <w:name w:val="Default Paragraph Font"/>
    <w:qFormat/>
    <w:rPr/>
  </w:style>
  <w:style w:type="character" w:styleId="Shorttext">
    <w:name w:val="short_text"/>
    <w:basedOn w:val="DefaultParagraphFont"/>
    <w:qFormat/>
    <w:rPr/>
  </w:style>
  <w:style w:type="character" w:styleId="Itempublisher">
    <w:name w:val="itempublisher"/>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rtgallery.nsw.gov.au/collection/search/?period=china.han-dynasty-206-bce-220-ce" TargetMode="External"/><Relationship Id="rId4" Type="http://schemas.openxmlformats.org/officeDocument/2006/relationships/image" Target="media/image2.png"/><Relationship Id="rId5" Type="http://schemas.openxmlformats.org/officeDocument/2006/relationships/hyperlink" Target="http://www.artgallery.nsw.gov.au/collection/search/?period=china.han-dynasty-206-bce-220-ce" TargetMode="External"/><Relationship Id="rId6" Type="http://schemas.openxmlformats.org/officeDocument/2006/relationships/hyperlink" Target="http://www.artgallery.nsw.gov.au/collection/search/?period=china.han-dynasty-206-bce-220-ce"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2012-04-30T11:01:00Z</dcterms:created>
  <dc:creator>USER</dc:creator>
  <dc:description/>
  <dc:language>en-US</dc:language>
  <cp:lastModifiedBy>USER</cp:lastModifiedBy>
  <cp:lastPrinted>2012-04-30T18:37:00Z</cp:lastPrinted>
  <dcterms:modified xsi:type="dcterms:W3CDTF">2012-05-04T14:45:00Z</dcterms:modified>
  <cp:revision>9</cp:revision>
  <dc:subject/>
  <dc:title>Asia-China-Mirror-Leaf-Arc-Turtle</dc:title>
</cp:coreProperties>
</file>