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6.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footer10.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_rels/document.xml.rels" ContentType="application/vnd.openxmlformats-package.relationships+xml"/>
  <Override PartName="/word/footer2.xml" ContentType="application/vnd.openxmlformats-officedocument.wordprocessingml.footer+xml"/>
  <Override PartName="/word/footer6.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document.xml" ContentType="application/vnd.openxmlformats-officedocument.wordprocessingml.document.main+xml"/>
  <Override PartName="/word/footer1.xml" ContentType="application/vnd.openxmlformats-officedocument.wordprocessingml.footer+xml"/>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2.wmf" ContentType="image/x-wmf"/>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8.jpeg" ContentType="image/jpeg"/>
  <Override PartName="/word/media/image3.wmf" ContentType="image/x-wmf"/>
  <Override PartName="/word/media/image1.jpeg" ContentType="image/jpeg"/>
  <Override PartName="/word/footer14.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Ancient Chinese Mirrors: </w:t>
      </w:r>
    </w:p>
    <w:p>
      <w:pPr>
        <w:pStyle w:val="Normal"/>
        <w:rPr/>
      </w:pPr>
      <w:r>
        <w:rPr/>
        <w:t>Reflections of Life</w:t>
      </w:r>
    </w:p>
    <w:p>
      <w:pPr>
        <w:pStyle w:val="Normal"/>
        <w:rPr/>
      </w:pPr>
      <w:r>
        <w:rPr/>
        <w:t>Mirrors, Minds, and Metaphors</w:t>
      </w:r>
    </w:p>
    <w:p>
      <w:pPr>
        <w:pStyle w:val="Normal"/>
        <w:rPr/>
      </w:pPr>
      <w:r>
        <w:rPr/>
        <w:t>Erin M. Cline</w:t>
      </w:r>
    </w:p>
    <w:p>
      <w:pPr>
        <w:pStyle w:val="Normal"/>
        <w:rPr/>
      </w:pPr>
      <w:r>
        <w:rPr/>
        <w:t>Department of Philosophy and Department of Religious Studies, University of Oregon</w:t>
      </w:r>
    </w:p>
    <w:p>
      <w:pPr>
        <w:pStyle w:val="NormalWeb"/>
        <w:rPr/>
      </w:pPr>
      <w:r>
        <w:rPr/>
        <w:t xml:space="preserve">As most scholars of classical Chinese philosophy are well aware, the </w:t>
      </w:r>
      <w:r>
        <w:rPr>
          <w:i/>
          <w:iCs/>
        </w:rPr>
        <w:t>Zhuangzi</w:t>
      </w:r>
      <w:r>
        <w:rPr/>
        <w:t xml:space="preserve"> and the </w:t>
      </w:r>
      <w:r>
        <w:rPr>
          <w:i/>
          <w:iCs/>
        </w:rPr>
        <w:t>Xunzi</w:t>
      </w:r>
      <w:r>
        <w:rPr/>
        <w:t xml:space="preserve"> both make use of the metaphor of the heart-mind (xin</w:t>
      </w:r>
      <w:r>
        <w:rPr/>
        <w:drawing>
          <wp:inline distT="0" distB="0" distL="0" distR="0">
            <wp:extent cx="142240" cy="133985"/>
            <wp:effectExtent l="0" t="0" r="0" b="0"/>
            <wp:docPr id="1" name="58.3.cline_0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as a mirror. For Zhuangzi, a heart-mind like a mirror constitutes the ideal state of unity with the Way: "The sage's heart-mind in stillness is the mirror of Heaven and earth, the glass of the ten thousand things."</w:t>
      </w:r>
      <w:r>
        <w:fldChar w:fldCharType="begin"/>
      </w:r>
      <w:r>
        <w:rPr>
          <w:rStyle w:val="InternetLink"/>
          <w:vertAlign w:val="superscript"/>
        </w:rPr>
        <w:instrText> HYPERLINK "http://muse.jhu.edu.libproxy.mit.edu/journals/philosophy_east_and_west/v058/58.3.cline.html" \l "f1"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For Xunzi, one must have a heart-mind like a mirror in order to learn about the Way. Just as a pan of water can be "clear and pure enough to see your beard and eyebrows and to examine the lines on your face," so, too, can the heart-mind be clear and pure enough to respond appropriately to learning.</w:t>
      </w:r>
      <w:r>
        <w:fldChar w:fldCharType="begin"/>
      </w:r>
      <w:r>
        <w:rPr>
          <w:rStyle w:val="InternetLink"/>
          <w:vertAlign w:val="superscript"/>
        </w:rPr>
        <w:instrText> HYPERLINK "http://muse.jhu.edu.libproxy.mit.edu/journals/philosophy_east_and_west/v058/58.3.cline.html" \l "f2"</w:instrText>
      </w:r>
      <w:r>
        <w:rPr>
          <w:rStyle w:val="InternetLink"/>
          <w:vertAlign w:val="superscript"/>
        </w:rPr>
        <w:fldChar w:fldCharType="separate"/>
      </w:r>
      <w:r>
        <w:rPr>
          <w:rStyle w:val="InternetLink"/>
          <w:vertAlign w:val="superscript"/>
        </w:rPr>
        <w:t>2</w:t>
      </w:r>
      <w:r>
        <w:rPr>
          <w:rStyle w:val="InternetLink"/>
          <w:vertAlign w:val="superscript"/>
        </w:rPr>
        <w:fldChar w:fldCharType="end"/>
      </w:r>
      <w:r>
        <w:rPr/>
        <w:t xml:space="preserve"> A number of scholars have discussed the significance of the mirror metaphor in these and other Chinese texts.</w:t>
      </w:r>
      <w:r>
        <w:fldChar w:fldCharType="begin"/>
      </w:r>
      <w:r>
        <w:rPr>
          <w:rStyle w:val="InternetLink"/>
          <w:vertAlign w:val="superscript"/>
        </w:rPr>
        <w:instrText> HYPERLINK "http://muse.jhu.edu.libproxy.mit.edu/journals/philosophy_east_and_west/v058/58.3.cline.html" \l "f3"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It may be of particular interest to comparative philosophers that the mirror metaphor is not confined to the Chinese tradition. Søren Kierkegaard is one example of a Western philosopher who used this metaphor, maintaining that the properly attuned heart "mirrors" the Good: "As the sea mirrors the elevation of heaven in its pure depths, so may the heart when it is calm and deeply transparent mirror the divine elevation of the Good in its pure depths."</w:t>
      </w:r>
      <w:r>
        <w:fldChar w:fldCharType="begin"/>
      </w:r>
      <w:r>
        <w:rPr>
          <w:rStyle w:val="InternetLink"/>
          <w:vertAlign w:val="superscript"/>
        </w:rPr>
        <w:instrText> HYPERLINK "http://muse.jhu.edu.libproxy.mit.edu/journals/philosophy_east_and_west/v058/58.3.cline.html" \l "f4"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Richard Rorty, too, makes use of the mirror metaphor in his work, </w:t>
      </w:r>
      <w:r>
        <w:rPr>
          <w:i/>
          <w:iCs/>
        </w:rPr>
        <w:t>Philosophy and the Mirror of Nature</w:t>
      </w:r>
      <w:r>
        <w:rPr/>
        <w:t>, arguing that "The picture which holds traditional philosophy captive is that of the mind as a great mirror, containing various representations—some accurate, some not—and capable of being studied by pure, non-empirical methods."</w:t>
      </w:r>
      <w:r>
        <w:fldChar w:fldCharType="begin"/>
      </w:r>
      <w:r>
        <w:rPr>
          <w:rStyle w:val="InternetLink"/>
          <w:vertAlign w:val="superscript"/>
        </w:rPr>
        <w:instrText> HYPERLINK "http://muse.jhu.edu.libproxy.mit.edu/journals/philosophy_east_and_west/v058/58.3.cline.html" \l "f5"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p>
    <w:p>
      <w:pPr>
        <w:pStyle w:val="NormalWeb"/>
        <w:rPr/>
      </w:pPr>
      <w:r>
        <w:rPr/>
        <w:t>What should comparative philosophers learn from the shared use of metaphors across different cultural and philosophical traditions? In his recent work, Edward Slingerland suggests that the shared use of metaphors across different cultural, philosophical, and religious contexts points toward deeper similarities between what may at first appear to be contrasting views.</w:t>
      </w:r>
      <w:r>
        <w:fldChar w:fldCharType="begin"/>
      </w:r>
      <w:r>
        <w:rPr>
          <w:rStyle w:val="InternetLink"/>
          <w:vertAlign w:val="superscript"/>
        </w:rPr>
        <w:instrText> HYPERLINK "http://muse.jhu.edu.libproxy.mit.edu/journals/philosophy_east_and_west/v058/58.3.cline.html" \l "f6"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In this article, by comparing the mirror metaphor in Zhuangzi, Xunzi, Kierkegaard, and Rorty, I argue that a properly contextualized comparison of different uses of a metaphor sometimes uncovers more differences than similarities between philosophical views. I begin by discussing the uses of the mirror metaphor in the </w:t>
      </w:r>
      <w:r>
        <w:rPr>
          <w:i/>
          <w:iCs/>
        </w:rPr>
        <w:t>Zhuangzi</w:t>
      </w:r>
      <w:r>
        <w:rPr/>
        <w:t xml:space="preserve"> and the </w:t>
      </w:r>
      <w:r>
        <w:rPr>
          <w:i/>
          <w:iCs/>
        </w:rPr>
        <w:t>Xunzi</w:t>
      </w:r>
      <w:r>
        <w:rPr/>
        <w:t xml:space="preserve">. I then turn to the uses of the metaphor in the work of Kierkegaard and Rorty, focusing on what makes their understanding of the mirror metaphor distinctively Western, thereby marking a contrast to Chinese understandings. In the final part of this article I discuss Slingerland's suggestion that shared metaphors indicate deeper similarities between views, and I show how the foregoing comparative analysis constitutes a counterexample to his view. I aim to show that an analysis of different understandings of the same metaphor is one way of coming to appreciate features of cultural, philosophical, and religious views that might otherwise be overlooked, but that these features are </w:t>
      </w:r>
      <w:r>
        <w:rPr>
          <w:b/>
          <w:bCs/>
        </w:rPr>
        <w:t>[End Page 337]</w:t>
      </w:r>
      <w:r>
        <w:rPr/>
        <w:t xml:space="preserve"> appreciated primarily as a result of the differences between the uses of the metaphor under study.</w:t>
      </w:r>
    </w:p>
    <w:p>
      <w:pPr>
        <w:pStyle w:val="Heading1"/>
        <w:rPr/>
      </w:pPr>
      <w:r>
        <w:rPr>
          <w:i/>
          <w:iCs/>
        </w:rPr>
        <w:t>The Mirror Metaphor in the</w:t>
      </w:r>
      <w:r>
        <w:rPr/>
        <w:t xml:space="preserve"> Zhuangzi</w:t>
      </w:r>
    </w:p>
    <w:p>
      <w:pPr>
        <w:pStyle w:val="NormalWeb"/>
        <w:rPr/>
      </w:pPr>
      <w:r>
        <w:rPr/>
        <w:t>Quite early in China's history, mirrors were seen as possessing great religious significance. Instead of passively reflecting the objects that came before them, mirrors were thought to respond to their environment in active and dynamic ways, evidencing a mysterious power. Some of the earliest recorded references to bronze mirrors (</w:t>
      </w:r>
      <w:r>
        <w:rPr>
          <w:i/>
          <w:iCs/>
        </w:rPr>
        <w:t>jian</w:t>
      </w:r>
      <w:r>
        <w:rPr/>
        <w:drawing>
          <wp:inline distT="0" distB="0" distL="0" distR="0">
            <wp:extent cx="142240" cy="142240"/>
            <wp:effectExtent l="0" t="0" r="0" b="0"/>
            <wp:docPr id="2"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3"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4"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fldChar w:fldCharType="begin"/>
      </w:r>
      <w:r>
        <w:rPr>
          <w:rStyle w:val="InternetLink"/>
          <w:vertAlign w:val="superscript"/>
        </w:rPr>
        <w:instrText> HYPERLINK "http://muse.jhu.edu.libproxy.mit.edu/journals/philosophy_east_and_west/v058/58.3.cline.html" \l "f7"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fldChar w:fldCharType="begin"/>
      </w:r>
      <w:r>
        <w:rPr>
          <w:rStyle w:val="InternetLink"/>
          <w:vertAlign w:val="superscript"/>
        </w:rPr>
        <w:instrText> HYPERLINK "http://muse.jhu.edu.libproxy.mit.edu/journals/philosophy_east_and_west/v058/58.3.cline.html" \l "f8"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fldChar w:fldCharType="begin"/>
      </w:r>
      <w:r>
        <w:rPr>
          <w:rStyle w:val="InternetLink"/>
          <w:vertAlign w:val="superscript"/>
        </w:rPr>
        <w:instrText> HYPERLINK "http://muse.jhu.edu.libproxy.mit.edu/journals/philosophy_east_and_west/v058/58.3.cline.html" \l "f9"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5"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6"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fldChar w:fldCharType="begin"/>
      </w:r>
      <w:r>
        <w:rPr>
          <w:rStyle w:val="InternetLink"/>
          <w:vertAlign w:val="superscript"/>
        </w:rPr>
        <w:instrText> HYPERLINK "http://muse.jhu.edu.libproxy.mit.edu/journals/philosophy_east_and_west/v058/58.3.cline.html" \l "f10"</w:instrText>
      </w:r>
      <w:r>
        <w:rPr>
          <w:rStyle w:val="InternetLink"/>
          <w:vertAlign w:val="superscript"/>
        </w:rPr>
        <w:fldChar w:fldCharType="separate"/>
      </w:r>
      <w:r>
        <w:rPr>
          <w:rStyle w:val="InternetLink"/>
          <w:vertAlign w:val="superscript"/>
        </w:rPr>
        <w:t>10</w:t>
      </w:r>
      <w:r>
        <w:rPr>
          <w:rStyle w:val="InternetLink"/>
          <w:vertAlign w:val="superscript"/>
        </w:rPr>
        <w:fldChar w:fldCharType="end"/>
      </w:r>
      <w:r>
        <w:rPr/>
        <w:t xml:space="preserve"> In chapter 7 this activity is associated with perfected persons (</w:t>
      </w:r>
      <w:r>
        <w:rPr>
          <w:i/>
          <w:iCs/>
        </w:rPr>
        <w:t>zhiren</w:t>
      </w:r>
      <w:r>
        <w:rPr/>
        <w:drawing>
          <wp:inline distT="0" distB="0" distL="0" distR="0">
            <wp:extent cx="266065" cy="133985"/>
            <wp:effectExtent l="0" t="0" r="0" b="0"/>
            <wp:docPr id="7"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fldChar w:fldCharType="begin"/>
      </w:r>
      <w:r>
        <w:rPr>
          <w:rStyle w:val="InternetLink"/>
          <w:vertAlign w:val="superscript"/>
        </w:rPr>
        <w:instrText> HYPERLINK "http://muse.jhu.edu.libproxy.mit.edu/journals/philosophy_east_and_west/v058/58.3.cline.html" \l "f11"</w:instrText>
      </w:r>
      <w:r>
        <w:rPr>
          <w:rStyle w:val="InternetLink"/>
          <w:vertAlign w:val="superscript"/>
        </w:rPr>
        <w:fldChar w:fldCharType="separate"/>
      </w:r>
      <w:r>
        <w:rPr>
          <w:rStyle w:val="InternetLink"/>
          <w:vertAlign w:val="superscript"/>
        </w:rPr>
        <w:t>11</w:t>
      </w:r>
      <w:r>
        <w:rPr>
          <w:rStyle w:val="InternetLink"/>
          <w:vertAlign w:val="superscript"/>
        </w:rPr>
        <w:fldChar w:fldCharType="end"/>
      </w:r>
      <w:r>
        <w:rPr/>
        <w:t xml:space="preserve"> Later, this metaphor is used to describe the sage (</w:t>
      </w:r>
      <w:r>
        <w:rPr>
          <w:i/>
          <w:iCs/>
        </w:rPr>
        <w:t>shengren</w:t>
      </w:r>
      <w:r>
        <w:rPr/>
        <w:drawing>
          <wp:inline distT="0" distB="0" distL="0" distR="0">
            <wp:extent cx="266065" cy="133985"/>
            <wp:effectExtent l="0" t="0" r="0" b="0"/>
            <wp:docPr id="8"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"f12"</w:instrText>
      </w:r>
      <w:r>
        <w:rPr>
          <w:rStyle w:val="InternetLink"/>
          <w:vertAlign w:val="superscript"/>
        </w:rPr>
        <w:fldChar w:fldCharType="separate"/>
      </w:r>
      <w:r>
        <w:rPr>
          <w:rStyle w:val="InternetLink"/>
          <w:vertAlign w:val="superscript"/>
        </w:rPr>
        <w:t>12</w:t>
      </w:r>
      <w:r>
        <w:rPr>
          <w:rStyle w:val="InternetLink"/>
          <w:vertAlign w:val="superscript"/>
        </w:rPr>
        <w:fldChar w:fldCharType="end"/>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b/>
          <w:bCs/>
        </w:rPr>
        <w:t>[End Page 338]</w:t>
      </w:r>
      <w:r>
        <w:rPr/>
        <w:t xml:space="preserve">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fldChar w:fldCharType="begin"/>
      </w:r>
      <w:r>
        <w:rPr>
          <w:rStyle w:val="InternetLink"/>
          <w:vertAlign w:val="superscript"/>
        </w:rPr>
        <w:instrText> HYPERLINK "http://muse.jhu.edu.libproxy.mit.edu/journals/philosophy_east_and_west/v058/58.3.cline.html" \l "f13"</w:instrText>
      </w:r>
      <w:r>
        <w:rPr>
          <w:rStyle w:val="InternetLink"/>
          <w:vertAlign w:val="superscript"/>
        </w:rPr>
        <w:fldChar w:fldCharType="separate"/>
      </w:r>
      <w:r>
        <w:rPr>
          <w:rStyle w:val="InternetLink"/>
          <w:vertAlign w:val="superscript"/>
        </w:rPr>
        <w:t>13</w:t>
      </w:r>
      <w:r>
        <w:rPr>
          <w:rStyle w:val="InternetLink"/>
          <w:vertAlign w:val="superscript"/>
        </w:rPr>
        <w:fldChar w:fldCharType="end"/>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9"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10"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1"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fldChar w:fldCharType="begin"/>
      </w:r>
      <w:r>
        <w:rPr>
          <w:rStyle w:val="InternetLink"/>
          <w:vertAlign w:val="superscript"/>
        </w:rPr>
        <w:instrText> HYPERLINK "http://muse.jhu.edu.libproxy.mit.edu/journals/philosophy_east_and_west/v058/58.3.cline.html" \l "f14"</w:instrText>
      </w:r>
      <w:r>
        <w:rPr>
          <w:rStyle w:val="InternetLink"/>
          <w:vertAlign w:val="superscript"/>
        </w:rPr>
        <w:fldChar w:fldCharType="separate"/>
      </w:r>
      <w:r>
        <w:rPr>
          <w:rStyle w:val="InternetLink"/>
          <w:vertAlign w:val="superscript"/>
        </w:rPr>
        <w:t>14</w:t>
      </w:r>
      <w:r>
        <w:rPr>
          <w:rStyle w:val="InternetLink"/>
          <w:vertAlign w:val="superscript"/>
        </w:rPr>
        <w:fldChar w:fldCharType="end"/>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2"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3"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"f15"</w:instrText>
      </w:r>
      <w:r>
        <w:rPr>
          <w:rStyle w:val="InternetLink"/>
          <w:vertAlign w:val="superscript"/>
        </w:rPr>
        <w:fldChar w:fldCharType="separate"/>
      </w:r>
      <w:r>
        <w:rPr>
          <w:rStyle w:val="InternetLink"/>
          <w:vertAlign w:val="superscript"/>
        </w:rPr>
        <w:t>15</w:t>
      </w:r>
      <w:r>
        <w:rPr>
          <w:rStyle w:val="InternetLink"/>
          <w:vertAlign w:val="superscript"/>
        </w:rPr>
        <w:fldChar w:fldCharType="end"/>
      </w:r>
      <w:r>
        <w:rPr/>
        <w:t xml:space="preserve"> The text uses a cluster of terms to describe the ideal state, many of which are also used </w:t>
      </w:r>
      <w:r>
        <w:rPr>
          <w:b/>
          <w:bCs/>
        </w:rPr>
        <w:t>[End Page 339]</w:t>
      </w:r>
      <w:r>
        <w:rPr/>
        <w:t xml:space="preserve">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fldChar w:fldCharType="begin"/>
      </w:r>
      <w:r>
        <w:rPr>
          <w:rStyle w:val="InternetLink"/>
          <w:vertAlign w:val="superscript"/>
        </w:rPr>
        <w:instrText> HYPERLINK "http://muse.jhu.edu.libproxy.mit.edu/journals/philosophy_east_and_west/v058/58.3.cline.html" \l "f16"</w:instrText>
      </w:r>
      <w:r>
        <w:rPr>
          <w:rStyle w:val="InternetLink"/>
          <w:vertAlign w:val="superscript"/>
        </w:rPr>
        <w:fldChar w:fldCharType="separate"/>
      </w:r>
      <w:r>
        <w:rPr>
          <w:rStyle w:val="InternetLink"/>
          <w:vertAlign w:val="superscript"/>
        </w:rPr>
        <w:t>16</w:t>
      </w:r>
      <w:r>
        <w:rPr>
          <w:rStyle w:val="InternetLink"/>
          <w:vertAlign w:val="superscript"/>
        </w:rPr>
        <w:fldChar w:fldCharType="end"/>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4"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"f17"</w:instrText>
      </w:r>
      <w:r>
        <w:rPr>
          <w:rStyle w:val="InternetLink"/>
          <w:vertAlign w:val="superscript"/>
        </w:rPr>
        <w:fldChar w:fldCharType="separate"/>
      </w:r>
      <w:r>
        <w:rPr>
          <w:rStyle w:val="InternetLink"/>
          <w:vertAlign w:val="superscript"/>
        </w:rPr>
        <w:t>17</w:t>
      </w:r>
      <w:r>
        <w:rPr>
          <w:rStyle w:val="InternetLink"/>
          <w:vertAlign w:val="superscript"/>
        </w:rPr>
        <w:fldChar w:fldCharType="end"/>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fldChar w:fldCharType="begin"/>
      </w:r>
      <w:r>
        <w:rPr>
          <w:rStyle w:val="InternetLink"/>
          <w:vertAlign w:val="superscript"/>
        </w:rPr>
        <w:instrText> HYPERLINK "http://muse.jhu.edu.libproxy.mit.edu/journals/philosophy_east_and_west/v058/58.3.cline.html" \l "f18"</w:instrText>
      </w:r>
      <w:r>
        <w:rPr>
          <w:rStyle w:val="InternetLink"/>
          <w:vertAlign w:val="superscript"/>
        </w:rPr>
        <w:fldChar w:fldCharType="separate"/>
      </w:r>
      <w:r>
        <w:rPr>
          <w:rStyle w:val="InternetLink"/>
          <w:vertAlign w:val="superscript"/>
        </w:rPr>
        <w:t>18</w:t>
      </w:r>
      <w:r>
        <w:rPr>
          <w:rStyle w:val="InternetLink"/>
          <w:vertAlign w:val="superscript"/>
        </w:rPr>
        <w:fldChar w:fldCharType="end"/>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5"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6"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7"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8"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9"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fldChar w:fldCharType="begin"/>
      </w:r>
      <w:r>
        <w:rPr>
          <w:rStyle w:val="InternetLink"/>
          <w:vertAlign w:val="superscript"/>
        </w:rPr>
        <w:instrText> HYPERLINK "http://muse.jhu.edu.libproxy.mit.edu/journals/philosophy_east_and_west/v058/58.3.cline.html" \l "f19"</w:instrText>
      </w:r>
      <w:r>
        <w:rPr>
          <w:rStyle w:val="InternetLink"/>
          <w:vertAlign w:val="superscript"/>
        </w:rPr>
        <w:fldChar w:fldCharType="separate"/>
      </w:r>
      <w:r>
        <w:rPr>
          <w:rStyle w:val="InternetLink"/>
          <w:vertAlign w:val="superscript"/>
        </w:rPr>
        <w:t>19</w:t>
      </w:r>
      <w:r>
        <w:rPr>
          <w:rStyle w:val="InternetLink"/>
          <w:vertAlign w:val="superscript"/>
        </w:rPr>
        <w:fldChar w:fldCharType="end"/>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fldChar w:fldCharType="begin"/>
      </w:r>
      <w:r>
        <w:rPr>
          <w:rStyle w:val="InternetLink"/>
          <w:vertAlign w:val="superscript"/>
        </w:rPr>
        <w:instrText> HYPERLINK "http://muse.jhu.edu.libproxy.mit.edu/journals/philosophy_east_and_west/v058/58.3.cline.html" \l "f20"</w:instrText>
      </w:r>
      <w:r>
        <w:rPr>
          <w:rStyle w:val="InternetLink"/>
          <w:vertAlign w:val="superscript"/>
        </w:rPr>
        <w:fldChar w:fldCharType="separate"/>
      </w:r>
      <w:r>
        <w:rPr>
          <w:rStyle w:val="InternetLink"/>
          <w:vertAlign w:val="superscript"/>
        </w:rPr>
        <w:t>20</w:t>
      </w:r>
      <w:r>
        <w:rPr>
          <w:rStyle w:val="InternetLink"/>
          <w:vertAlign w:val="superscript"/>
        </w:rPr>
        <w:fldChar w:fldCharType="end"/>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20"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w:t>
      </w:r>
      <w:r>
        <w:rPr>
          <w:b/>
          <w:bCs/>
        </w:rPr>
        <w:t>[End Page 340]</w:t>
      </w:r>
      <w:r>
        <w:rPr/>
        <w:t xml:space="preserve">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pPr>
      <w:r>
        <w:rPr/>
        <w:t>The Mirror Metaphor in the Xunzi</w:t>
      </w:r>
    </w:p>
    <w:p>
      <w:pPr>
        <w:pStyle w:val="NormalWeb"/>
        <w:rPr/>
      </w:pPr>
      <w:r>
        <w:rPr/>
        <w:t xml:space="preserve">Although the </w:t>
      </w:r>
      <w:r>
        <w:rPr>
          <w:i/>
          <w:iCs/>
        </w:rPr>
        <w:t>Zhuangzi</w:t>
      </w:r>
      <w:r>
        <w:rPr/>
        <w:t xml:space="preserve"> and the </w:t>
      </w:r>
      <w:r>
        <w:rPr>
          <w:i/>
          <w:iCs/>
        </w:rPr>
        <w:t>Xunzi</w:t>
      </w:r>
      <w:r>
        <w:rPr/>
        <w:t xml:space="preserve"> present opposing visions of human nature and self-cultivation, the </w:t>
      </w:r>
      <w:r>
        <w:rPr>
          <w:i/>
          <w:iCs/>
        </w:rPr>
        <w:t>Xunzi</w:t>
      </w:r>
      <w:r>
        <w:rPr/>
        <w:t xml:space="preserve"> is one of several texts that bear the mark of Zhuangzi's influence through the use of the mirror metaphor.</w:t>
      </w:r>
      <w:r>
        <w:fldChar w:fldCharType="begin"/>
      </w:r>
      <w:r>
        <w:rPr>
          <w:rStyle w:val="InternetLink"/>
          <w:vertAlign w:val="superscript"/>
        </w:rPr>
        <w:instrText> HYPERLINK "http://muse.jhu.edu.libproxy.mit.edu/journals/philosophy_east_and_west/v058/58.3.cline.html" \l "f21"</w:instrText>
      </w:r>
      <w:r>
        <w:rPr>
          <w:rStyle w:val="InternetLink"/>
          <w:vertAlign w:val="superscript"/>
        </w:rPr>
        <w:fldChar w:fldCharType="separate"/>
      </w:r>
      <w:r>
        <w:rPr>
          <w:rStyle w:val="InternetLink"/>
          <w:vertAlign w:val="superscript"/>
        </w:rPr>
        <w:t>21</w:t>
      </w:r>
      <w:r>
        <w:rPr>
          <w:rStyle w:val="InternetLink"/>
          <w:vertAlign w:val="superscript"/>
        </w:rPr>
        <w:fldChar w:fldCharType="end"/>
      </w:r>
      <w:r>
        <w:rPr/>
        <w:t xml:space="preserve"> In fact, Xunzi's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Xunzi transforms Zhuangzi's metaphor, using it to express and shape his own position. In chapter 21 Xunzi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fldChar w:fldCharType="begin"/>
      </w:r>
      <w:r>
        <w:rPr>
          <w:rStyle w:val="InternetLink"/>
          <w:vertAlign w:val="superscript"/>
        </w:rPr>
        <w:instrText> HYPERLINK "http://muse.jhu.edu.libproxy.mit.edu/journals/philosophy_east_and_west/v058/58.3.cline.html" \l "f22"</w:instrText>
      </w:r>
      <w:r>
        <w:rPr>
          <w:rStyle w:val="InternetLink"/>
          <w:vertAlign w:val="superscript"/>
        </w:rPr>
        <w:fldChar w:fldCharType="separate"/>
      </w:r>
      <w:r>
        <w:rPr>
          <w:rStyle w:val="InternetLink"/>
          <w:vertAlign w:val="superscript"/>
        </w:rPr>
        <w:t>22</w:t>
      </w:r>
      <w:r>
        <w:rPr>
          <w:rStyle w:val="InternetLink"/>
          <w:vertAlign w:val="superscript"/>
        </w:rPr>
        <w:fldChar w:fldCharType="end"/>
      </w:r>
      <w:r>
        <w:rPr/>
        <w:t xml:space="preserve"> For Xunzi,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1"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fldChar w:fldCharType="begin"/>
      </w:r>
      <w:r>
        <w:rPr>
          <w:rStyle w:val="InternetLink"/>
          <w:vertAlign w:val="superscript"/>
        </w:rPr>
        <w:instrText> HYPERLINK "http://muse.jhu.edu.libproxy.mit.edu/journals/philosophy_east_and_west/v058/58.3.cline.html" \l "f23"</w:instrText>
      </w:r>
      <w:r>
        <w:rPr>
          <w:rStyle w:val="InternetLink"/>
          <w:vertAlign w:val="superscript"/>
        </w:rPr>
        <w:fldChar w:fldCharType="separate"/>
      </w:r>
      <w:r>
        <w:rPr>
          <w:rStyle w:val="InternetLink"/>
          <w:vertAlign w:val="superscript"/>
        </w:rPr>
        <w:t>23</w:t>
      </w:r>
      <w:r>
        <w:rPr>
          <w:rStyle w:val="InternetLink"/>
          <w:vertAlign w:val="superscript"/>
        </w:rPr>
        <w:fldChar w:fldCharType="end"/>
      </w:r>
    </w:p>
    <w:p>
      <w:pPr>
        <w:pStyle w:val="NormalWeb"/>
        <w:rPr/>
      </w:pPr>
      <w:r>
        <w:rPr/>
        <w:t xml:space="preserve">Although Xunzi appeals to Zhuangzi's image of a person's beard and eyebrows, he develops the metaphor in a very different way. To begin with, Xunzi describes a reflection in a </w:t>
      </w:r>
      <w:r>
        <w:rPr>
          <w:i/>
          <w:iCs/>
        </w:rPr>
        <w:t>pan</w:t>
      </w:r>
      <w:r>
        <w:rPr/>
        <w:t xml:space="preserve"> of water, unlike Zhuangzi, who contrasts still water with flowing water, apparently in natural settings—rivers, streams, ponds, or lakes. In addition, Xunzi introduces "muddiness" into the metaphor, focusing on the water's clarity or turbidity in addition to its stillness. For Xunzi,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2"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3"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fldChar w:fldCharType="begin"/>
      </w:r>
      <w:r>
        <w:rPr>
          <w:rStyle w:val="InternetLink"/>
          <w:vertAlign w:val="superscript"/>
        </w:rPr>
        <w:instrText> HYPERLINK "http://muse.jhu.edu.libproxy.mit.edu/journals/philosophy_east_and_west/v058/58.3.cline.html" \l "f24"</w:instrText>
      </w:r>
      <w:r>
        <w:rPr>
          <w:rStyle w:val="InternetLink"/>
          <w:vertAlign w:val="superscript"/>
        </w:rPr>
        <w:fldChar w:fldCharType="separate"/>
      </w:r>
      <w:r>
        <w:rPr>
          <w:rStyle w:val="InternetLink"/>
          <w:vertAlign w:val="superscript"/>
        </w:rPr>
        <w:t>24</w:t>
      </w:r>
      <w:r>
        <w:rPr>
          <w:rStyle w:val="InternetLink"/>
          <w:vertAlign w:val="superscript"/>
        </w:rPr>
        <w:fldChar w:fldCharType="end"/>
      </w:r>
    </w:p>
    <w:p>
      <w:pPr>
        <w:pStyle w:val="NormalWeb"/>
        <w:rPr/>
      </w:pPr>
      <w:r>
        <w:rPr/>
        <w:t xml:space="preserve">Here again, we can see how Xunzi develops the metaphor in a distinctive way. He is concerned with the pan of water being tilted, which would disturb one's ability to view an accurate, undistorted reflection. In addition to disturbing the water's stillness, </w:t>
      </w:r>
      <w:r>
        <w:rPr>
          <w:b/>
          <w:bCs/>
        </w:rPr>
        <w:t>[End Page 341]</w:t>
      </w:r>
      <w:r>
        <w:rPr/>
        <w:t xml:space="preserve"> Xunzi tells us that tilting the pan makes the water murky, which also distorts a reflection. All of this, he maintains, resembles the task of the sage, who must not allow his heart-mind to be tilted or disturbed, and who must work to avoid stirring it up with distractions. For Xunzi, the heart-mind's stillness and clarity is not a goal or end-in-itself, as it is for the Zhuangzian sage. Rather, a heart-mind that is bright and clear, like a mirror, is a necessary condition for learning about the Way. This aspect of Xunzi's metaphor marks a contrast to Zhuangzi, for whom a heart-mind like a mirror </w:t>
      </w:r>
      <w:r>
        <w:rPr>
          <w:i/>
          <w:iCs/>
        </w:rPr>
        <w:t>constitutes</w:t>
      </w:r>
      <w:r>
        <w:rPr/>
        <w:t xml:space="preserve"> a state of unity with the Way. For Xunzi,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Xunzi, a heart-mind like a mirror describes a state that is </w:t>
      </w:r>
      <w:r>
        <w:rPr>
          <w:i/>
          <w:iCs/>
        </w:rPr>
        <w:t>preparatory for</w:t>
      </w:r>
      <w:r>
        <w:rPr/>
        <w:t xml:space="preserve"> learning about the Way.</w:t>
      </w:r>
    </w:p>
    <w:p>
      <w:pPr>
        <w:pStyle w:val="NormalWeb"/>
        <w:rPr/>
      </w:pPr>
      <w:r>
        <w:rPr/>
        <w:t>It is worth noting that certain dimensions of Xunzi's use of the mirror metaphor resonate strongly with his larger program of self-cultivation and the collection of metaphors he uses to describe it. The introduction of a pan of water as opposed to natural occurrences of water is consistent with Xunzi's insistence that human nature is reformed from the outside in using the rites and traditions created by the sages over time.</w:t>
      </w:r>
      <w:r>
        <w:fldChar w:fldCharType="begin"/>
      </w:r>
      <w:r>
        <w:rPr>
          <w:rStyle w:val="InternetLink"/>
          <w:vertAlign w:val="superscript"/>
        </w:rPr>
        <w:instrText> HYPERLINK "http://muse.jhu.edu.libproxy.mit.edu/journals/philosophy_east_and_west/v058/58.3.cline.html" \l "f25"</w:instrText>
      </w:r>
      <w:r>
        <w:rPr>
          <w:rStyle w:val="InternetLink"/>
          <w:vertAlign w:val="superscript"/>
        </w:rPr>
        <w:fldChar w:fldCharType="separate"/>
      </w:r>
      <w:r>
        <w:rPr>
          <w:rStyle w:val="InternetLink"/>
          <w:vertAlign w:val="superscript"/>
        </w:rPr>
        <w:t>25</w:t>
      </w:r>
      <w:r>
        <w:rPr>
          <w:rStyle w:val="InternetLink"/>
          <w:vertAlign w:val="superscript"/>
        </w:rPr>
        <w:fldChar w:fldCharType="end"/>
      </w:r>
      <w:r>
        <w:rPr/>
        <w:t xml:space="preserve"> To illustrate and develop his view of the way human dispositions and attitudes are shaped, he often uses craft metaphors.</w:t>
      </w:r>
      <w:r>
        <w:fldChar w:fldCharType="begin"/>
      </w:r>
      <w:r>
        <w:rPr>
          <w:rStyle w:val="InternetLink"/>
          <w:vertAlign w:val="superscript"/>
        </w:rPr>
        <w:instrText> HYPERLINK "http://muse.jhu.edu.libproxy.mit.edu/journals/philosophy_east_and_west/v058/58.3.cline.html" \l "f26"</w:instrText>
      </w:r>
      <w:r>
        <w:rPr>
          <w:rStyle w:val="InternetLink"/>
          <w:vertAlign w:val="superscript"/>
        </w:rPr>
        <w:fldChar w:fldCharType="separate"/>
      </w:r>
      <w:r>
        <w:rPr>
          <w:rStyle w:val="InternetLink"/>
          <w:vertAlign w:val="superscript"/>
        </w:rPr>
        <w:t>26</w:t>
      </w:r>
      <w:r>
        <w:rPr>
          <w:rStyle w:val="InternetLink"/>
          <w:vertAlign w:val="superscript"/>
        </w:rPr>
        <w:fldChar w:fldCharType="end"/>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Xunzi, settling down in the Zhuangzian sense could only perpetuate the unrefined state into which we are born. Xunzi thinks we need to work hard at being attentive in order to refine ourselves. The work that it takes to hold a pan of water perfectly straight without even the slightest tilt is another metaphor for his rigorous program of self-cultivation. Xunzi's goal is to make the mind </w:t>
      </w:r>
      <w:r>
        <w:rPr>
          <w:i/>
          <w:iCs/>
        </w:rPr>
        <w:t>clear</w:t>
      </w:r>
      <w:r>
        <w:rPr/>
        <w:t xml:space="preserve"> so that it is ready to learn. </w:t>
      </w:r>
      <w:r>
        <w:rPr>
          <w:b/>
          <w:bCs/>
        </w:rPr>
        <w:t>[End Page 342]</w:t>
      </w:r>
      <w:r>
        <w:rPr/>
        <w:t xml:space="preserve"> </w:t>
      </w:r>
    </w:p>
    <w:p>
      <w:pPr>
        <w:pStyle w:val="NormalWeb"/>
        <w:rPr/>
      </w:pPr>
      <w:r>
        <w:rPr/>
        <w:t>Despite these differences from Zhuangzi, however, Xunzi's use of the mirror metaphor is still distinctively Chinese. One of the clearest indications of this fact is Xunzi's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fldChar w:fldCharType="begin"/>
      </w:r>
      <w:r>
        <w:rPr>
          <w:rStyle w:val="InternetLink"/>
          <w:vertAlign w:val="superscript"/>
        </w:rPr>
        <w:instrText> HYPERLINK "http://muse.jhu.edu.libproxy.mit.edu/journals/philosophy_east_and_west/v058/58.3.cline.html" \l "f27"</w:instrText>
      </w:r>
      <w:r>
        <w:rPr>
          <w:rStyle w:val="InternetLink"/>
          <w:vertAlign w:val="superscript"/>
        </w:rPr>
        <w:fldChar w:fldCharType="separate"/>
      </w:r>
      <w:r>
        <w:rPr>
          <w:rStyle w:val="InternetLink"/>
          <w:vertAlign w:val="superscript"/>
        </w:rPr>
        <w:t>27</w:t>
      </w:r>
      <w:r>
        <w:rPr>
          <w:rStyle w:val="InternetLink"/>
          <w:vertAlign w:val="superscript"/>
        </w:rPr>
        <w:fldChar w:fldCharType="end"/>
      </w:r>
      <w:r>
        <w:rPr/>
        <w:t xml:space="preserve"> As we have already seen, one of the things that helped to make mirrors the paradigm of proper responsiveness in ancient China was the fact that they did not retain their previous images. As David Nivison has pointed out, Xunzi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fldChar w:fldCharType="begin"/>
      </w:r>
      <w:r>
        <w:rPr>
          <w:rStyle w:val="InternetLink"/>
          <w:vertAlign w:val="superscript"/>
        </w:rPr>
        <w:instrText> HYPERLINK "http://muse.jhu.edu.libproxy.mit.edu/journals/philosophy_east_and_west/v058/58.3.cline.html" \l "f28"</w:instrText>
      </w:r>
      <w:r>
        <w:rPr>
          <w:rStyle w:val="InternetLink"/>
          <w:vertAlign w:val="superscript"/>
        </w:rPr>
        <w:fldChar w:fldCharType="separate"/>
      </w:r>
      <w:r>
        <w:rPr>
          <w:rStyle w:val="InternetLink"/>
          <w:vertAlign w:val="superscript"/>
        </w:rPr>
        <w:t>28</w:t>
      </w:r>
      <w:r>
        <w:rPr>
          <w:rStyle w:val="InternetLink"/>
          <w:vertAlign w:val="superscript"/>
        </w:rPr>
        <w:fldChar w:fldCharType="end"/>
      </w:r>
      <w:r>
        <w:rPr/>
        <w:t xml:space="preserve"> Here we can see the resemblance between the heart-mind and mirrors, as Zhuangzi does when he discusses "responding without storing."</w:t>
      </w:r>
    </w:p>
    <w:p>
      <w:pPr>
        <w:pStyle w:val="NormalWeb"/>
        <w:rPr/>
      </w:pPr>
      <w:r>
        <w:rPr/>
        <w:t>However, for Xunzian sages, unlike Zhuangzian sages, the purpose of "mirroring" is to be receptive to learning about the Way. Nivison notes that Xunzi sees the state of the heart-mind as "a means to clear thinking and correct judgment, not a religious goal, not an end in itself."</w:t>
      </w:r>
      <w:r>
        <w:fldChar w:fldCharType="begin"/>
      </w:r>
      <w:r>
        <w:rPr>
          <w:rStyle w:val="InternetLink"/>
          <w:vertAlign w:val="superscript"/>
        </w:rPr>
        <w:instrText> HYPERLINK "http://muse.jhu.edu.libproxy.mit.edu/journals/philosophy_east_and_west/v058/58.3.cline.html" \l "f29"</w:instrText>
      </w:r>
      <w:r>
        <w:rPr>
          <w:rStyle w:val="InternetLink"/>
          <w:vertAlign w:val="superscript"/>
        </w:rPr>
        <w:fldChar w:fldCharType="separate"/>
      </w:r>
      <w:r>
        <w:rPr>
          <w:rStyle w:val="InternetLink"/>
          <w:vertAlign w:val="superscript"/>
        </w:rPr>
        <w:t>29</w:t>
      </w:r>
      <w:r>
        <w:rPr>
          <w:rStyle w:val="InternetLink"/>
          <w:vertAlign w:val="superscript"/>
        </w:rPr>
        <w:fldChar w:fldCharType="end"/>
      </w:r>
      <w:r>
        <w:rPr/>
        <w:t xml:space="preserve"> Xunzi's instrumental view of the heart-mind represents a marked contrast with the </w:t>
      </w:r>
      <w:r>
        <w:rPr>
          <w:i/>
          <w:iCs/>
        </w:rPr>
        <w:t>Zhuangzi</w:t>
      </w:r>
      <w:r>
        <w:rPr/>
        <w:t>, where a "heart-mind like a mirror" is a sagely achievement. For Zhuangzi this state is not a means to an end. But, Xunzi tells us, "a muddied brightness (</w:t>
      </w:r>
      <w:r>
        <w:rPr>
          <w:i/>
          <w:iCs/>
        </w:rPr>
        <w:t>zhuo ming</w:t>
      </w:r>
      <w:r>
        <w:rPr/>
        <w:drawing>
          <wp:inline distT="0" distB="0" distL="0" distR="0">
            <wp:extent cx="266065" cy="133985"/>
            <wp:effectExtent l="0" t="0" r="0" b="0"/>
            <wp:docPr id="24"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5"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fldChar w:fldCharType="begin"/>
      </w:r>
      <w:r>
        <w:rPr>
          <w:rStyle w:val="InternetLink"/>
          <w:vertAlign w:val="superscript"/>
        </w:rPr>
        <w:instrText> HYPERLINK "http://muse.jhu.edu.libproxy.mit.edu/journals/philosophy_east_and_west/v058/58.3.cline.html" \l "f30"</w:instrText>
      </w:r>
      <w:r>
        <w:rPr>
          <w:rStyle w:val="InternetLink"/>
          <w:vertAlign w:val="superscript"/>
        </w:rPr>
        <w:fldChar w:fldCharType="separate"/>
      </w:r>
      <w:r>
        <w:rPr>
          <w:rStyle w:val="InternetLink"/>
          <w:vertAlign w:val="superscript"/>
        </w:rPr>
        <w:t>30</w:t>
      </w:r>
      <w:r>
        <w:rPr>
          <w:rStyle w:val="InternetLink"/>
          <w:vertAlign w:val="superscript"/>
        </w:rPr>
        <w:fldChar w:fldCharType="end"/>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Xunzi says, "When water is moving and reflections waver, men do not use it to determine their beauty or ugliness."</w:t>
      </w:r>
      <w:r>
        <w:fldChar w:fldCharType="begin"/>
      </w:r>
      <w:r>
        <w:rPr>
          <w:rStyle w:val="InternetLink"/>
          <w:vertAlign w:val="superscript"/>
        </w:rPr>
        <w:instrText> HYPERLINK "http://muse.jhu.edu.libproxy.mit.edu/journals/philosophy_east_and_west/v058/58.3.cline.html" \l "f31"</w:instrText>
      </w:r>
      <w:r>
        <w:rPr>
          <w:rStyle w:val="InternetLink"/>
          <w:vertAlign w:val="superscript"/>
        </w:rPr>
        <w:fldChar w:fldCharType="separate"/>
      </w:r>
      <w:r>
        <w:rPr>
          <w:rStyle w:val="InternetLink"/>
          <w:vertAlign w:val="superscript"/>
        </w:rPr>
        <w:t>31</w:t>
      </w:r>
      <w:r>
        <w:rPr>
          <w:rStyle w:val="InternetLink"/>
          <w:vertAlign w:val="superscript"/>
        </w:rPr>
        <w:fldChar w:fldCharType="end"/>
      </w:r>
      <w:r>
        <w:rPr/>
        <w:t xml:space="preserve"> Likewise, if the heart-mind is not still, one cannot use it to learn about the Way. Although Xunzi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Heading1"/>
        <w:rPr/>
      </w:pPr>
      <w:r>
        <w:rPr/>
        <w:t>The Mirror Metaphor in Two Western Contexts</w:t>
      </w:r>
    </w:p>
    <w:p>
      <w:pPr>
        <w:pStyle w:val="NormalWeb"/>
        <w:rPr/>
      </w:pPr>
      <w:r>
        <w:rPr/>
        <w:t xml:space="preserve">We now turn our attention from the classical Chinese tradition to the Western philosophical tradition, and to two very different philosophers who, like Xunzi and Zhuangzi, use the mirror metaphor to describe and develop certain features of their </w:t>
      </w:r>
      <w:r>
        <w:rPr>
          <w:b/>
          <w:bCs/>
        </w:rPr>
        <w:t>[End Page 343]</w:t>
      </w:r>
      <w:r>
        <w:rPr/>
        <w:t xml:space="preserve"> views. In general in the Western tradition, the heart and mind have been used to refer to the different sources of affective and cognitive capacities, which indicates among other things that many Western thinkers have seen them as different </w:t>
      </w:r>
      <w:r>
        <w:rPr>
          <w:i/>
          <w:iCs/>
        </w:rPr>
        <w:t>kinds</w:t>
      </w:r>
      <w:r>
        <w:rPr/>
        <w:t xml:space="preserve"> of capacities. The two philosophers discussed in this section reflect this division between the heart and the mind in their use of the mirror metaphor. While Kierkegaard describes the heart as a mirror, focusing primarily on affective and volitional capacities, Rorty describes the mind as a mirror, focusing strictly on Western epistemic concerns. Both philosophers speak quite intentionally of either the heart or the mind, depending upon their purposes, and this shows that, at least in some general sense, they share a cultural understanding of the heart and the mind. This understanding serves as a contrast to the Chinese view, according to which the </w:t>
      </w:r>
      <w:r>
        <w:rPr>
          <w:i/>
          <w:iCs/>
        </w:rPr>
        <w:t>xin</w:t>
      </w:r>
      <w:r>
        <w:rPr/>
        <w:t xml:space="preserve"> ("heart-mind") is seen as the seat of all of the capacities that the Western tradition has tended to associate with either the heart or the mind. It will also become apparent in this section that Kierkegaard and Rorty share a cultural understanding of mirrors, and we will see that this understanding contrasts readily with the Chinese view.</w:t>
      </w:r>
      <w:r>
        <w:fldChar w:fldCharType="begin"/>
      </w:r>
      <w:r>
        <w:rPr>
          <w:rStyle w:val="InternetLink"/>
          <w:vertAlign w:val="superscript"/>
        </w:rPr>
        <w:instrText> HYPERLINK "http://muse.jhu.edu.libproxy.mit.edu/journals/philosophy_east_and_west/v058/58.3.cline.html" \l "f32"</w:instrText>
      </w:r>
      <w:r>
        <w:rPr>
          <w:rStyle w:val="InternetLink"/>
          <w:vertAlign w:val="superscript"/>
        </w:rPr>
        <w:fldChar w:fldCharType="separate"/>
      </w:r>
      <w:r>
        <w:rPr>
          <w:rStyle w:val="InternetLink"/>
          <w:vertAlign w:val="superscript"/>
        </w:rPr>
        <w:t>32</w:t>
      </w:r>
      <w:r>
        <w:rPr>
          <w:rStyle w:val="InternetLink"/>
          <w:vertAlign w:val="superscript"/>
        </w:rPr>
        <w:fldChar w:fldCharType="end"/>
      </w:r>
      <w:r>
        <w:rPr/>
        <w:t xml:space="preserve"> In the non-pseudonymous work </w:t>
      </w:r>
      <w:r>
        <w:rPr>
          <w:i/>
          <w:iCs/>
        </w:rPr>
        <w:t>Purity of Heart Is to Will One Thing</w:t>
      </w:r>
      <w:r>
        <w:rPr/>
        <w:t>, Kierkegaard uses the metaphor of a calm sea, which functions like a mirror, reflecting the heavens, to describe his conception of the proper functioning of the human heart:</w:t>
      </w:r>
    </w:p>
    <w:p>
      <w:pPr>
        <w:pStyle w:val="NormalWeb"/>
        <w:ind w:start="720" w:end="720" w:hanging="0"/>
        <w:rPr/>
      </w:pPr>
      <w:r>
        <w:rPr/>
        <w:t>As the sea mirrors the elevation of heaven in its pure depths, so may the heart when it is calm and deeply transparent mirror the divine elevation of the Good in its pure depths. If the least thing comes in between, between the heavens and the sea, between the heart and the Good, then it would be sheer impatience to covet the reflection. For if the sea is impure it cannot give a pure reflection of the heavens.</w:t>
      </w:r>
      <w:r>
        <w:fldChar w:fldCharType="begin"/>
      </w:r>
      <w:r>
        <w:rPr>
          <w:rStyle w:val="InternetLink"/>
          <w:vertAlign w:val="superscript"/>
        </w:rPr>
        <w:instrText> HYPERLINK "http://muse.jhu.edu.libproxy.mit.edu/journals/philosophy_east_and_west/v058/58.3.cline.html" \l "f33"</w:instrText>
      </w:r>
      <w:r>
        <w:rPr>
          <w:rStyle w:val="InternetLink"/>
          <w:vertAlign w:val="superscript"/>
        </w:rPr>
        <w:fldChar w:fldCharType="separate"/>
      </w:r>
      <w:r>
        <w:rPr>
          <w:rStyle w:val="InternetLink"/>
          <w:vertAlign w:val="superscript"/>
        </w:rPr>
        <w:t>33</w:t>
      </w:r>
      <w:r>
        <w:rPr>
          <w:rStyle w:val="InternetLink"/>
          <w:vertAlign w:val="superscript"/>
        </w:rPr>
        <w:fldChar w:fldCharType="end"/>
      </w:r>
    </w:p>
    <w:p>
      <w:pPr>
        <w:pStyle w:val="Continued"/>
        <w:rPr/>
      </w:pPr>
      <w:r>
        <w:rPr/>
        <w:t xml:space="preserve">There are a couple of things that are especially noteworthy about Kierkegaard's use of the mirror metaphor in this passage. First, his primary concern is with </w:t>
      </w:r>
      <w:r>
        <w:rPr>
          <w:i/>
          <w:iCs/>
        </w:rPr>
        <w:t>impurities</w:t>
      </w:r>
      <w:r>
        <w:rPr/>
        <w:t xml:space="preserve"> in the water. Kierkegaard's remarks focus on the various kinds of impurities that may prevent the water from giving back a "pure reflection." Now there are a variety of things that might cause impurities, and given his claim that the heart must be both calm and transparent, it seems safe to assume that when he discusses impurities Kierkegaard includes the causes of impurities—anything that stirs the water up or causes it to become cloudy, including wind or external agitations of any sort. He also mentions objects coming in between the heavens and the sea. If one is trying to view the reflection of the clouds overhead in calm water, and an airplane flies overhead, or a boat speeds across the water, the reflection will be interrupted by the object passing in between the water's surface and the clouds that are reflected therein.</w:t>
      </w:r>
    </w:p>
    <w:p>
      <w:pPr>
        <w:pStyle w:val="NormalWeb"/>
        <w:rPr/>
      </w:pPr>
      <w:r>
        <w:rPr/>
        <w:t xml:space="preserve">According to Kierkegaard's use of the metaphor, if a person wishes to reflect the Good, she must avoid external influences that may interfere with her reflection of the Good, which for Kierkegaard means her connection with God. One must remain wholly focused on God, which means protecting oneself from the distractions and trappings of the world, which are especially tempting to the human will, which is necessarily corrupt because of original sin. For Kierkegaard, when individuals assert themselves against God, this constitutes sin, which involves acting against what humans are created to be: creatures dependent on God's love. At the same time, </w:t>
      </w:r>
      <w:r>
        <w:rPr>
          <w:b/>
          <w:bCs/>
        </w:rPr>
        <w:t>[End Page 344]</w:t>
      </w:r>
      <w:r>
        <w:rPr/>
        <w:t xml:space="preserve"> Kierkegaard maintains that individuals are responsible for what they will. Self-awareness prompts awareness of human inadequacy and prepares individuals to accept God's help, which includes an awareness of one's complete dependence on God. When we eliminate our opposition to God's will, we surrender our own corrupt wills to God, which allows God's transforming power to work in our hearts.</w:t>
      </w:r>
      <w:r>
        <w:fldChar w:fldCharType="begin"/>
      </w:r>
      <w:r>
        <w:rPr>
          <w:rStyle w:val="InternetLink"/>
          <w:vertAlign w:val="superscript"/>
        </w:rPr>
        <w:instrText> HYPERLINK "http://muse.jhu.edu.libproxy.mit.edu/journals/philosophy_east_and_west/v058/58.3.cline.html" \l "f34"</w:instrText>
      </w:r>
      <w:r>
        <w:rPr>
          <w:rStyle w:val="InternetLink"/>
          <w:vertAlign w:val="superscript"/>
        </w:rPr>
        <w:fldChar w:fldCharType="separate"/>
      </w:r>
      <w:r>
        <w:rPr>
          <w:rStyle w:val="InternetLink"/>
          <w:vertAlign w:val="superscript"/>
        </w:rPr>
        <w:t>34</w:t>
      </w:r>
      <w:r>
        <w:rPr>
          <w:rStyle w:val="InternetLink"/>
          <w:vertAlign w:val="superscript"/>
        </w:rPr>
        <w:fldChar w:fldCharType="end"/>
      </w:r>
      <w:r>
        <w:rPr/>
        <w:t xml:space="preserve"> Kierkegaard writes that "purity of heart is the very wisdom that is acquired through prayer. A man of prayer does not pore over learned books for he is the wise man 'whose eyes are opened'—when he kneels down (Numbers 24 : 16)."</w:t>
      </w:r>
      <w:r>
        <w:fldChar w:fldCharType="begin"/>
      </w:r>
      <w:r>
        <w:rPr>
          <w:rStyle w:val="InternetLink"/>
          <w:vertAlign w:val="superscript"/>
        </w:rPr>
        <w:instrText> HYPERLINK "http://muse.jhu.edu.libproxy.mit.edu/journals/philosophy_east_and_west/v058/58.3.cline.html" \l "f35"</w:instrText>
      </w:r>
      <w:r>
        <w:rPr>
          <w:rStyle w:val="InternetLink"/>
          <w:vertAlign w:val="superscript"/>
        </w:rPr>
        <w:fldChar w:fldCharType="separate"/>
      </w:r>
      <w:r>
        <w:rPr>
          <w:rStyle w:val="InternetLink"/>
          <w:vertAlign w:val="superscript"/>
        </w:rPr>
        <w:t>35</w:t>
      </w:r>
      <w:r>
        <w:rPr>
          <w:rStyle w:val="InternetLink"/>
          <w:vertAlign w:val="superscript"/>
        </w:rPr>
        <w:fldChar w:fldCharType="end"/>
      </w:r>
      <w:r>
        <w:rPr/>
        <w:t xml:space="preserve"> The commitments of the heart are the commitments that are most central to one's identity—one's "innermost being," as he puts it.</w:t>
      </w:r>
      <w:r>
        <w:fldChar w:fldCharType="begin"/>
      </w:r>
      <w:r>
        <w:rPr>
          <w:rStyle w:val="InternetLink"/>
          <w:vertAlign w:val="superscript"/>
        </w:rPr>
        <w:instrText> HYPERLINK "http://muse.jhu.edu.libproxy.mit.edu/journals/philosophy_east_and_west/v058/58.3.cline.html" \l "f36"</w:instrText>
      </w:r>
      <w:r>
        <w:rPr>
          <w:rStyle w:val="InternetLink"/>
          <w:vertAlign w:val="superscript"/>
        </w:rPr>
        <w:fldChar w:fldCharType="separate"/>
      </w:r>
      <w:r>
        <w:rPr>
          <w:rStyle w:val="InternetLink"/>
          <w:vertAlign w:val="superscript"/>
        </w:rPr>
        <w:t>36</w:t>
      </w:r>
      <w:r>
        <w:rPr>
          <w:rStyle w:val="InternetLink"/>
          <w:vertAlign w:val="superscript"/>
        </w:rPr>
        <w:fldChar w:fldCharType="end"/>
      </w:r>
    </w:p>
    <w:p>
      <w:pPr>
        <w:pStyle w:val="NormalWeb"/>
        <w:rPr/>
      </w:pPr>
      <w:r>
        <w:rPr/>
        <w:t>Kierkegaard maintains that when one's heart becomes clear and calm like a mirror it is almost inevitable that it will reflect the Good, as a clear, calm sea inevitably reflects the skies above. He says, "As the sea, when it lies calm and deeply transparent, yearns for heaven, so may the pure heart, when it is calm and deeply transparent, yearn for the Good."</w:t>
      </w:r>
      <w:r>
        <w:fldChar w:fldCharType="begin"/>
      </w:r>
      <w:r>
        <w:rPr>
          <w:rStyle w:val="InternetLink"/>
          <w:vertAlign w:val="superscript"/>
        </w:rPr>
        <w:instrText> HYPERLINK "http://muse.jhu.edu.libproxy.mit.edu/journals/philosophy_east_and_west/v058/58.3.cline.html" \l "f37"</w:instrText>
      </w:r>
      <w:r>
        <w:rPr>
          <w:rStyle w:val="InternetLink"/>
          <w:vertAlign w:val="superscript"/>
        </w:rPr>
        <w:fldChar w:fldCharType="separate"/>
      </w:r>
      <w:r>
        <w:rPr>
          <w:rStyle w:val="InternetLink"/>
          <w:vertAlign w:val="superscript"/>
        </w:rPr>
        <w:t>37</w:t>
      </w:r>
      <w:r>
        <w:rPr>
          <w:rStyle w:val="InternetLink"/>
          <w:vertAlign w:val="superscript"/>
        </w:rPr>
        <w:fldChar w:fldCharType="end"/>
      </w:r>
      <w:r>
        <w:rPr/>
        <w:t xml:space="preserve"> He also notes the important role that one's volitions play in this process: "As the sea is made pure by yearning for heaven alone; so may the heart become pure by yearning only for the Good."</w:t>
      </w:r>
      <w:r>
        <w:fldChar w:fldCharType="begin"/>
      </w:r>
      <w:r>
        <w:rPr>
          <w:rStyle w:val="InternetLink"/>
          <w:vertAlign w:val="superscript"/>
        </w:rPr>
        <w:instrText> HYPERLINK "http://muse.jhu.edu.libproxy.mit.edu/journals/philosophy_east_and_west/v058/58.3.cline.html" \l "f38"</w:instrText>
      </w:r>
      <w:r>
        <w:rPr>
          <w:rStyle w:val="InternetLink"/>
          <w:vertAlign w:val="superscript"/>
        </w:rPr>
        <w:fldChar w:fldCharType="separate"/>
      </w:r>
      <w:r>
        <w:rPr>
          <w:rStyle w:val="InternetLink"/>
          <w:vertAlign w:val="superscript"/>
        </w:rPr>
        <w:t>38</w:t>
      </w:r>
      <w:r>
        <w:rPr>
          <w:rStyle w:val="InternetLink"/>
          <w:vertAlign w:val="superscript"/>
        </w:rPr>
        <w:fldChar w:fldCharType="end"/>
      </w:r>
      <w:r>
        <w:rPr/>
        <w:t xml:space="preserve"> If one chooses to accept God's saving grace, one begins to cultivate certain desires and feelings, which constitutes a process of purification that is completed only when one yearns for the Good alone.</w:t>
      </w:r>
      <w:r>
        <w:fldChar w:fldCharType="begin"/>
      </w:r>
      <w:r>
        <w:rPr>
          <w:rStyle w:val="InternetLink"/>
          <w:vertAlign w:val="superscript"/>
        </w:rPr>
        <w:instrText> HYPERLINK "http://muse.jhu.edu.libproxy.mit.edu/journals/philosophy_east_and_west/v058/58.3.cline.html" \l "f39"</w:instrText>
      </w:r>
      <w:r>
        <w:rPr>
          <w:rStyle w:val="InternetLink"/>
          <w:vertAlign w:val="superscript"/>
        </w:rPr>
        <w:fldChar w:fldCharType="separate"/>
      </w:r>
      <w:r>
        <w:rPr>
          <w:rStyle w:val="InternetLink"/>
          <w:vertAlign w:val="superscript"/>
        </w:rPr>
        <w:t>39</w:t>
      </w:r>
      <w:r>
        <w:rPr>
          <w:rStyle w:val="InternetLink"/>
          <w:vertAlign w:val="superscript"/>
        </w:rPr>
        <w:fldChar w:fldCharType="end"/>
      </w:r>
    </w:p>
    <w:p>
      <w:pPr>
        <w:pStyle w:val="NormalWeb"/>
        <w:rPr/>
      </w:pPr>
      <w:r>
        <w:rPr/>
        <w:t>This last point brings us to another feature of Kierkegaard's use of the metaphor that is especially noteworthy for the purposes of this study. Although he mentions that the heart must be calm, he also says it must be "deeply transparent" in order to mirror the Good. Transparency here gives us the sense of emptiness and passivity. When something serves as a mirror, it is not active or responsive.</w:t>
      </w:r>
      <w:r>
        <w:fldChar w:fldCharType="begin"/>
      </w:r>
      <w:r>
        <w:rPr>
          <w:rStyle w:val="InternetLink"/>
          <w:vertAlign w:val="superscript"/>
        </w:rPr>
        <w:instrText> HYPERLINK "http://muse.jhu.edu.libproxy.mit.edu/journals/philosophy_east_and_west/v058/58.3.cline.html" \l "f40"</w:instrText>
      </w:r>
      <w:r>
        <w:rPr>
          <w:rStyle w:val="InternetLink"/>
          <w:vertAlign w:val="superscript"/>
        </w:rPr>
        <w:fldChar w:fldCharType="separate"/>
      </w:r>
      <w:r>
        <w:rPr>
          <w:rStyle w:val="InternetLink"/>
          <w:vertAlign w:val="superscript"/>
        </w:rPr>
        <w:t>40</w:t>
      </w:r>
      <w:r>
        <w:rPr>
          <w:rStyle w:val="InternetLink"/>
          <w:vertAlign w:val="superscript"/>
        </w:rPr>
        <w:fldChar w:fldCharType="end"/>
      </w:r>
      <w:r>
        <w:rPr/>
        <w:t xml:space="preserve"> Kierkegaard emphasizes the connection between purity and transparency: "Purity of heart: it is a figure of speech that compares the heart to the sea, and why just to this? Simply for the reason that the depth of the sea determines its purity, and its purity determines its transparency."</w:t>
      </w:r>
      <w:r>
        <w:fldChar w:fldCharType="begin"/>
      </w:r>
      <w:r>
        <w:rPr>
          <w:rStyle w:val="InternetLink"/>
          <w:vertAlign w:val="superscript"/>
        </w:rPr>
        <w:instrText> HYPERLINK "http://muse.jhu.edu.libproxy.mit.edu/journals/philosophy_east_and_west/v058/58.3.cline.html" \l "f41"</w:instrText>
      </w:r>
      <w:r>
        <w:rPr>
          <w:rStyle w:val="InternetLink"/>
          <w:vertAlign w:val="superscript"/>
        </w:rPr>
        <w:fldChar w:fldCharType="separate"/>
      </w:r>
      <w:r>
        <w:rPr>
          <w:rStyle w:val="InternetLink"/>
          <w:vertAlign w:val="superscript"/>
        </w:rPr>
        <w:t>41</w:t>
      </w:r>
      <w:r>
        <w:rPr>
          <w:rStyle w:val="InternetLink"/>
          <w:vertAlign w:val="superscript"/>
        </w:rPr>
        <w:fldChar w:fldCharType="end"/>
      </w:r>
      <w:r>
        <w:rPr/>
        <w:t xml:space="preserve"> He writes that the sea is "pure only when it is deep, and is transparent only when it is pure[;] as soon as it is impure it is no longer deep but only surface water, and as soon as it is only surface water it is not transparent."</w:t>
      </w:r>
      <w:r>
        <w:fldChar w:fldCharType="begin"/>
      </w:r>
      <w:r>
        <w:rPr>
          <w:rStyle w:val="InternetLink"/>
          <w:vertAlign w:val="superscript"/>
        </w:rPr>
        <w:instrText> HYPERLINK "http://muse.jhu.edu.libproxy.mit.edu/journals/philosophy_east_and_west/v058/58.3.cline.html" \l "f42"</w:instrText>
      </w:r>
      <w:r>
        <w:rPr>
          <w:rStyle w:val="InternetLink"/>
          <w:vertAlign w:val="superscript"/>
        </w:rPr>
        <w:fldChar w:fldCharType="separate"/>
      </w:r>
      <w:r>
        <w:rPr>
          <w:rStyle w:val="InternetLink"/>
          <w:vertAlign w:val="superscript"/>
        </w:rPr>
        <w:t>42</w:t>
      </w:r>
      <w:r>
        <w:rPr>
          <w:rStyle w:val="InternetLink"/>
          <w:vertAlign w:val="superscript"/>
        </w:rPr>
        <w:fldChar w:fldCharType="end"/>
      </w:r>
      <w:r>
        <w:rPr/>
        <w:t xml:space="preserve"> A heart must be "deeply and transparently pure[,] . . . all of one consistency," like the surface of a calm sea. Like a mirror, a calm sea passively reflects the heavens, and a calm, pure heart gives back a passive reflection of the Good.</w:t>
      </w:r>
    </w:p>
    <w:p>
      <w:pPr>
        <w:pStyle w:val="NormalWeb"/>
        <w:rPr/>
      </w:pPr>
      <w:r>
        <w:rPr/>
        <w:t xml:space="preserve">There are both similarities and differences between Kierkegaard's understanding of what it means for the heart to be like a mirror and the understandings we have seen in Zhuangzi and Xunzi. As with Zhuangzi, the state Kierkegaard describes is an end in itself; it is constitutive of the individual's complete dedication to "the divine elevation of the Good." The metaphysical and religious dimensions of Zhuangzian and Kierkegaardian thought surface here. Kierkegaard tells us in </w:t>
      </w:r>
      <w:r>
        <w:rPr>
          <w:i/>
          <w:iCs/>
        </w:rPr>
        <w:t>Purity of Heart</w:t>
      </w:r>
      <w:r>
        <w:rPr/>
        <w:t xml:space="preserve"> that morally good people can be identified by the fact that they "will one thing." This "one thing" is a commitment that is qualitatively different from all others, and, according to Kierkegaard, the only kind of commitment that can function in this manner is a commitment to the Good. When one is unconditionally committed to the Good, one's heart is pure. Kierkegaard offers his interpretation, quoting from </w:t>
      </w:r>
      <w:r>
        <w:rPr>
          <w:b/>
          <w:bCs/>
        </w:rPr>
        <w:t>[End Page 345]</w:t>
      </w:r>
      <w:r>
        <w:rPr/>
        <w:t xml:space="preserve"> James 4 : 8: "'Purify your hearts, ye double-minded,' that is, purify your hearts of double-mindedness; in other words, let your heart in truth will only one thing, for therein is the heart's purity."</w:t>
      </w:r>
      <w:r>
        <w:fldChar w:fldCharType="begin"/>
      </w:r>
      <w:r>
        <w:rPr>
          <w:rStyle w:val="InternetLink"/>
          <w:vertAlign w:val="superscript"/>
        </w:rPr>
        <w:instrText> HYPERLINK "http://muse.jhu.edu.libproxy.mit.edu/journals/philosophy_east_and_west/v058/58.3.cline.html" \l "f43"</w:instrText>
      </w:r>
      <w:r>
        <w:rPr>
          <w:rStyle w:val="InternetLink"/>
          <w:vertAlign w:val="superscript"/>
        </w:rPr>
        <w:fldChar w:fldCharType="separate"/>
      </w:r>
      <w:r>
        <w:rPr>
          <w:rStyle w:val="InternetLink"/>
          <w:vertAlign w:val="superscript"/>
        </w:rPr>
        <w:t>43</w:t>
      </w:r>
      <w:r>
        <w:rPr>
          <w:rStyle w:val="InternetLink"/>
          <w:vertAlign w:val="superscript"/>
        </w:rPr>
        <w:fldChar w:fldCharType="end"/>
      </w:r>
    </w:p>
    <w:p>
      <w:pPr>
        <w:pStyle w:val="NormalWeb"/>
        <w:rPr/>
      </w:pPr>
      <w:r>
        <w:rPr/>
        <w:t>Kierkegaard leaves little room to question that purity of heart is an end in itself largely because he contrasts the purity of heart attained by individuals who will the Good single-mindedly with "double-minded" individuals, who pursue the Good in order to receive a reward.</w:t>
      </w:r>
      <w:r>
        <w:fldChar w:fldCharType="begin"/>
      </w:r>
      <w:r>
        <w:rPr>
          <w:rStyle w:val="InternetLink"/>
          <w:vertAlign w:val="superscript"/>
        </w:rPr>
        <w:instrText> HYPERLINK "http://muse.jhu.edu.libproxy.mit.edu/journals/philosophy_east_and_west/v058/58.3.cline.html" \l "f44"</w:instrText>
      </w:r>
      <w:r>
        <w:rPr>
          <w:rStyle w:val="InternetLink"/>
          <w:vertAlign w:val="superscript"/>
        </w:rPr>
        <w:fldChar w:fldCharType="separate"/>
      </w:r>
      <w:r>
        <w:rPr>
          <w:rStyle w:val="InternetLink"/>
          <w:vertAlign w:val="superscript"/>
        </w:rPr>
        <w:t>44</w:t>
      </w:r>
      <w:r>
        <w:rPr>
          <w:rStyle w:val="InternetLink"/>
          <w:vertAlign w:val="superscript"/>
        </w:rPr>
        <w:fldChar w:fldCharType="end"/>
      </w:r>
      <w:r>
        <w:rPr/>
        <w:t xml:space="preserve"> In contrast, when individuals will the Good, single-mindedly making a commitment to become the selves God calls them to be, they make a commitment to pursue the Good because it is the Good.</w:t>
      </w:r>
      <w:r>
        <w:fldChar w:fldCharType="begin"/>
      </w:r>
      <w:r>
        <w:rPr>
          <w:rStyle w:val="InternetLink"/>
          <w:vertAlign w:val="superscript"/>
        </w:rPr>
        <w:instrText> HYPERLINK "http://muse.jhu.edu.libproxy.mit.edu/journals/philosophy_east_and_west/v058/58.3.cline.html" \l "f45"</w:instrText>
      </w:r>
      <w:r>
        <w:rPr>
          <w:rStyle w:val="InternetLink"/>
          <w:vertAlign w:val="superscript"/>
        </w:rPr>
        <w:fldChar w:fldCharType="separate"/>
      </w:r>
      <w:r>
        <w:rPr>
          <w:rStyle w:val="InternetLink"/>
          <w:vertAlign w:val="superscript"/>
        </w:rPr>
        <w:t>45</w:t>
      </w:r>
      <w:r>
        <w:rPr>
          <w:rStyle w:val="InternetLink"/>
          <w:vertAlign w:val="superscript"/>
        </w:rPr>
        <w:fldChar w:fldCharType="end"/>
      </w:r>
      <w:r>
        <w:rPr/>
        <w:t xml:space="preserve"> Kierkegaard writes that these individuals' hearts are "deeply transparent," like the water in a calm sea. It is not muddied or murky, and this is why a "pure reflection" of the Good is possible. Here we can see a point of resonance with Xunzi's discussion of how a pan of water must not be tilted, for if the water becomes turbid and muddied, it can no longer serve as a mirror. So, as with Xunzi, Kierkegaard's conception of a heart like a mirror requires one to avoid disturbance and impurity, but, as with Zhuangzi, Kierkegaard's ideal state constitutes an end in itself.</w:t>
      </w:r>
    </w:p>
    <w:p>
      <w:pPr>
        <w:pStyle w:val="NormalWeb"/>
        <w:rPr/>
      </w:pPr>
      <w:r>
        <w:rPr/>
        <w:t xml:space="preserve">However, there is a set of penetrating differences between Kierkegaard's discussion of mirrors and reflections and the Zhuangzian and Xunzian uses of the mirror metaphor. Kierkegaard uses the mirror metaphor to describe how the pure heart is "calm and deeply transparent," and thus reflects the Good with complete accuracy. His use of the word "transparent" is especially important for our purposes, because the pure heart does not </w:t>
      </w:r>
      <w:r>
        <w:rPr>
          <w:i/>
          <w:iCs/>
        </w:rPr>
        <w:t>respond</w:t>
      </w:r>
      <w:r>
        <w:rPr/>
        <w:t xml:space="preserve"> in addition to reflecting the truth, in the way that the heart-mind does for Zhuangzi and Xunzi. Although "willing one thing" is a response to God's call, the state that this response brings about—a heart like a mirror—is not responsive in character. The metaphor is appropriate, in Kierkegaard's view, because mirrors are not responsive.</w:t>
      </w:r>
    </w:p>
    <w:p>
      <w:pPr>
        <w:pStyle w:val="NormalWeb"/>
        <w:rPr/>
      </w:pPr>
      <w:r>
        <w:rPr/>
        <w:t>Rorty shares Kierkegaard's conception of mirrors as passive reflectors of whatever passes before them, and the mirror metaphor occupies a central place in Rorty's work. However, unlike the other figures we have examined, Rorty argues for the rejection of the metaphor. He maintains that the history of Western philosophy is dominated by the metaphor of the mind as a mirror, defined by the idea that the mind reflects reality:</w:t>
      </w:r>
    </w:p>
    <w:p>
      <w:pPr>
        <w:pStyle w:val="NormalWeb"/>
        <w:ind w:start="720" w:end="720" w:hanging="0"/>
        <w:rPr/>
      </w:pPr>
      <w:r>
        <w:rPr/>
        <w:t>[M]etaphors rather than statements . . . determine most of our philosophical convictions. The picture which holds traditional philosophy captive is that of the mind as a great mirror, containing various representations—some accurate, some not—and capable of being studied by pure, non-empirical methods. Without the notion of the mind as mirror, the notion of knowledge as accuracy of representation would not have suggested itself.</w:t>
      </w:r>
      <w:r>
        <w:fldChar w:fldCharType="begin"/>
      </w:r>
      <w:r>
        <w:rPr>
          <w:rStyle w:val="InternetLink"/>
          <w:vertAlign w:val="superscript"/>
        </w:rPr>
        <w:instrText> HYPERLINK "http://muse.jhu.edu.libproxy.mit.edu/journals/philosophy_east_and_west/v058/58.3.cline.html" \l "f46"</w:instrText>
      </w:r>
      <w:r>
        <w:rPr>
          <w:rStyle w:val="InternetLink"/>
          <w:vertAlign w:val="superscript"/>
        </w:rPr>
        <w:fldChar w:fldCharType="separate"/>
      </w:r>
      <w:r>
        <w:rPr>
          <w:rStyle w:val="InternetLink"/>
          <w:vertAlign w:val="superscript"/>
        </w:rPr>
        <w:t>46</w:t>
      </w:r>
      <w:r>
        <w:rPr>
          <w:rStyle w:val="InternetLink"/>
          <w:vertAlign w:val="superscript"/>
        </w:rPr>
        <w:fldChar w:fldCharType="end"/>
      </w:r>
    </w:p>
    <w:p>
      <w:pPr>
        <w:pStyle w:val="NormalWeb"/>
        <w:rPr/>
      </w:pPr>
      <w:r>
        <w:rPr/>
        <w:t>Rorty's analysis concerns the use of the mirror metaphor in Western epistemology. He calls the mirror metaphor "the original sin of epistemology" in the Western philosophical tradition, because epistemology has concerned itself with the accuracy of the mind.</w:t>
      </w:r>
      <w:r>
        <w:fldChar w:fldCharType="begin"/>
      </w:r>
      <w:r>
        <w:rPr>
          <w:rStyle w:val="InternetLink"/>
          <w:vertAlign w:val="superscript"/>
        </w:rPr>
        <w:instrText> HYPERLINK "http://muse.jhu.edu.libproxy.mit.edu/journals/philosophy_east_and_west/v058/58.3.cline.html" \l "f47"</w:instrText>
      </w:r>
      <w:r>
        <w:rPr>
          <w:rStyle w:val="InternetLink"/>
          <w:vertAlign w:val="superscript"/>
        </w:rPr>
        <w:fldChar w:fldCharType="separate"/>
      </w:r>
      <w:r>
        <w:rPr>
          <w:rStyle w:val="InternetLink"/>
          <w:vertAlign w:val="superscript"/>
        </w:rPr>
        <w:t>47</w:t>
      </w:r>
      <w:r>
        <w:rPr>
          <w:rStyle w:val="InternetLink"/>
          <w:vertAlign w:val="superscript"/>
        </w:rPr>
        <w:fldChar w:fldCharType="end"/>
      </w:r>
      <w:r>
        <w:rPr/>
        <w:t xml:space="preserve"> Rorty argues that Western epistemologists typically examine the mind, trying to figure out if it is reflecting reality with accuracy and clarity, like a mirror. He discusses the work of philosophers such as Descartes and Kant, who, he </w:t>
      </w:r>
      <w:r>
        <w:rPr>
          <w:b/>
          <w:bCs/>
        </w:rPr>
        <w:t>[End Page 346]</w:t>
      </w:r>
      <w:r>
        <w:rPr/>
        <w:t xml:space="preserve"> argues, conceived of themselves as "getting more accurate representations by inspecting, repairing, and polishing the mirror."</w:t>
      </w:r>
      <w:r>
        <w:fldChar w:fldCharType="begin"/>
      </w:r>
      <w:r>
        <w:rPr>
          <w:rStyle w:val="InternetLink"/>
          <w:vertAlign w:val="superscript"/>
        </w:rPr>
        <w:instrText> HYPERLINK "http://muse.jhu.edu.libproxy.mit.edu/journals/philosophy_east_and_west/v058/58.3.cline.html" \l "f48"</w:instrText>
      </w:r>
      <w:r>
        <w:rPr>
          <w:rStyle w:val="InternetLink"/>
          <w:vertAlign w:val="superscript"/>
        </w:rPr>
        <w:fldChar w:fldCharType="separate"/>
      </w:r>
      <w:r>
        <w:rPr>
          <w:rStyle w:val="InternetLink"/>
          <w:vertAlign w:val="superscript"/>
        </w:rPr>
        <w:t>48</w:t>
      </w:r>
      <w:r>
        <w:rPr>
          <w:rStyle w:val="InternetLink"/>
          <w:vertAlign w:val="superscript"/>
        </w:rPr>
        <w:fldChar w:fldCharType="end"/>
      </w:r>
    </w:p>
    <w:p>
      <w:pPr>
        <w:pStyle w:val="NormalWeb"/>
        <w:rPr/>
      </w:pPr>
      <w:r>
        <w:rPr/>
        <w:t>Rorty tells us that there are three things involved in thinking of the mind as a mirror: the person, the object, and the inner representation of that object.</w:t>
      </w:r>
      <w:r>
        <w:fldChar w:fldCharType="begin"/>
      </w:r>
      <w:r>
        <w:rPr>
          <w:rStyle w:val="InternetLink"/>
          <w:vertAlign w:val="superscript"/>
        </w:rPr>
        <w:instrText> HYPERLINK "http://muse.jhu.edu.libproxy.mit.edu/journals/philosophy_east_and_west/v058/58.3.cline.html" \l "f49"</w:instrText>
      </w:r>
      <w:r>
        <w:rPr>
          <w:rStyle w:val="InternetLink"/>
          <w:vertAlign w:val="superscript"/>
        </w:rPr>
        <w:fldChar w:fldCharType="separate"/>
      </w:r>
      <w:r>
        <w:rPr>
          <w:rStyle w:val="InternetLink"/>
          <w:vertAlign w:val="superscript"/>
        </w:rPr>
        <w:t>49</w:t>
      </w:r>
      <w:r>
        <w:rPr>
          <w:rStyle w:val="InternetLink"/>
          <w:vertAlign w:val="superscript"/>
        </w:rPr>
        <w:fldChar w:fldCharType="end"/>
      </w:r>
      <w:r>
        <w:rPr/>
        <w:t xml:space="preserve"> An agent's mind makes knowledge of an object possible by representing or reflecting the object back to her. Traditionally our chief task as philosophers, as Rorty puts it, has been to "mirror accurately, in our own Glassy Essence, the universe around us," which complements the assumption that the world itself is made up of clearly and distinctly knowable things.</w:t>
      </w:r>
      <w:r>
        <w:fldChar w:fldCharType="begin"/>
      </w:r>
      <w:r>
        <w:rPr>
          <w:rStyle w:val="InternetLink"/>
          <w:vertAlign w:val="superscript"/>
        </w:rPr>
        <w:instrText> HYPERLINK "http://muse.jhu.edu.libproxy.mit.edu/journals/philosophy_east_and_west/v058/58.3.cline.html" \l "f50"</w:instrText>
      </w:r>
      <w:r>
        <w:rPr>
          <w:rStyle w:val="InternetLink"/>
          <w:vertAlign w:val="superscript"/>
        </w:rPr>
        <w:fldChar w:fldCharType="separate"/>
      </w:r>
      <w:r>
        <w:rPr>
          <w:rStyle w:val="InternetLink"/>
          <w:vertAlign w:val="superscript"/>
        </w:rPr>
        <w:t>50</w:t>
      </w:r>
      <w:r>
        <w:rPr>
          <w:rStyle w:val="InternetLink"/>
          <w:vertAlign w:val="superscript"/>
        </w:rPr>
        <w:fldChar w:fldCharType="end"/>
      </w:r>
      <w:r>
        <w:rPr/>
        <w:t xml:space="preserve"> Rorty concludes that "the professional philosopher's self-image depends upon his professional preoccupation with the image of the Mirror of Nature." </w:t>
      </w:r>
      <w:r>
        <w:fldChar w:fldCharType="begin"/>
      </w:r>
      <w:r>
        <w:rPr>
          <w:rStyle w:val="InternetLink"/>
          <w:vertAlign w:val="superscript"/>
        </w:rPr>
        <w:instrText> HYPERLINK "http://muse.jhu.edu.libproxy.mit.edu/journals/philosophy_east_and_west/v058/58.3.cline.html" \l "f51"</w:instrText>
      </w:r>
      <w:r>
        <w:rPr>
          <w:rStyle w:val="InternetLink"/>
          <w:vertAlign w:val="superscript"/>
        </w:rPr>
        <w:fldChar w:fldCharType="separate"/>
      </w:r>
      <w:r>
        <w:rPr>
          <w:rStyle w:val="InternetLink"/>
          <w:vertAlign w:val="superscript"/>
        </w:rPr>
        <w:t>51</w:t>
      </w:r>
      <w:r>
        <w:rPr>
          <w:rStyle w:val="InternetLink"/>
          <w:vertAlign w:val="superscript"/>
        </w:rPr>
        <w:fldChar w:fldCharType="end"/>
      </w:r>
      <w:r>
        <w:rPr/>
        <w:t xml:space="preserve"> He points out that the rise of the notion of knowledge "as a matter of rightly ordered inner representations—an unclouded and undistorting Mirror of Nature—was due to the notion that the difference between the man whose beliefs were true and the man whose beliefs were false was a matter of 'how their minds worked."'</w:t>
      </w:r>
      <w:r>
        <w:fldChar w:fldCharType="begin"/>
      </w:r>
      <w:r>
        <w:rPr>
          <w:rStyle w:val="InternetLink"/>
          <w:vertAlign w:val="superscript"/>
        </w:rPr>
        <w:instrText> HYPERLINK "http://muse.jhu.edu.libproxy.mit.edu/journals/philosophy_east_and_west/v058/58.3.cline.html" \l "f52"</w:instrText>
      </w:r>
      <w:r>
        <w:rPr>
          <w:rStyle w:val="InternetLink"/>
          <w:vertAlign w:val="superscript"/>
        </w:rPr>
        <w:fldChar w:fldCharType="separate"/>
      </w:r>
      <w:r>
        <w:rPr>
          <w:rStyle w:val="InternetLink"/>
          <w:vertAlign w:val="superscript"/>
        </w:rPr>
        <w:t>52</w:t>
      </w:r>
      <w:r>
        <w:rPr>
          <w:rStyle w:val="InternetLink"/>
          <w:vertAlign w:val="superscript"/>
        </w:rPr>
        <w:fldChar w:fldCharType="end"/>
      </w:r>
      <w:r>
        <w:rPr/>
        <w:t xml:space="preserve"> According to this view, "one must believe, with Descartes and Locke, that a taxonomy of mental entities and processes will lead to discoveries which will provide one with a method of discovering truth."</w:t>
      </w:r>
      <w:r>
        <w:fldChar w:fldCharType="begin"/>
      </w:r>
      <w:r>
        <w:rPr>
          <w:rStyle w:val="InternetLink"/>
          <w:vertAlign w:val="superscript"/>
        </w:rPr>
        <w:instrText> HYPERLINK "http://muse.jhu.edu.libproxy.mit.edu/journals/philosophy_east_and_west/v058/58.3.cline.html" \l "f53"</w:instrText>
      </w:r>
      <w:r>
        <w:rPr>
          <w:rStyle w:val="InternetLink"/>
          <w:vertAlign w:val="superscript"/>
        </w:rPr>
        <w:fldChar w:fldCharType="separate"/>
      </w:r>
      <w:r>
        <w:rPr>
          <w:rStyle w:val="InternetLink"/>
          <w:vertAlign w:val="superscript"/>
        </w:rPr>
        <w:t>53</w:t>
      </w:r>
      <w:r>
        <w:rPr>
          <w:rStyle w:val="InternetLink"/>
          <w:vertAlign w:val="superscript"/>
        </w:rPr>
        <w:fldChar w:fldCharType="end"/>
      </w:r>
    </w:p>
    <w:p>
      <w:pPr>
        <w:pStyle w:val="NormalWeb"/>
        <w:rPr/>
      </w:pPr>
      <w:r>
        <w:rPr/>
        <w:t>Rorty is impressed with the ability of Wittgenstein, Heidegger, and Dewey to recognize the problem with the mirror metaphor. Wittgenstein and Heidegger come to our rescue, according to Rorty, because they suggest that we should hear statements "without seeing them as externalizing inner representations of reality." Rorty argues that this provides the opportunity to "get the visual, and in particular the mirroring, metaphors out of our speech altogether."</w:t>
      </w:r>
      <w:r>
        <w:fldChar w:fldCharType="begin"/>
      </w:r>
      <w:r>
        <w:rPr>
          <w:rStyle w:val="InternetLink"/>
          <w:vertAlign w:val="superscript"/>
        </w:rPr>
        <w:instrText> HYPERLINK "http://muse.jhu.edu.libproxy.mit.edu/journals/philosophy_east_and_west/v058/58.3.cline.html" \l "f54"</w:instrText>
      </w:r>
      <w:r>
        <w:rPr>
          <w:rStyle w:val="InternetLink"/>
          <w:vertAlign w:val="superscript"/>
        </w:rPr>
        <w:fldChar w:fldCharType="separate"/>
      </w:r>
      <w:r>
        <w:rPr>
          <w:rStyle w:val="InternetLink"/>
          <w:vertAlign w:val="superscript"/>
        </w:rPr>
        <w:t>54</w:t>
      </w:r>
      <w:r>
        <w:rPr>
          <w:rStyle w:val="InternetLink"/>
          <w:vertAlign w:val="superscript"/>
        </w:rPr>
        <w:fldChar w:fldCharType="end"/>
      </w:r>
      <w:r>
        <w:rPr/>
        <w:t xml:space="preserve"> By rejecting the idea of the given and the idea of analyticity, Rorty concludes that neither metaphysical realism nor foundational epistemology is viable. Without either of these, there is no way to provide an analysis of absolute standards of rationality by which we can mediate disagreements about truth claims. Language and thought are not representations mirroring reality. Rorty concludes that Western epistemology must abandon the metaphor of the mind as a mirror.</w:t>
      </w:r>
    </w:p>
    <w:p>
      <w:pPr>
        <w:pStyle w:val="NormalWeb"/>
        <w:rPr/>
      </w:pPr>
      <w:r>
        <w:rPr/>
        <w:t>For our purposes, it is important to note the significance of Rorty's argument that throughout the history of Western thought mirrors have served as objective standards for truth. His basic claim points to what seems to be the prevailing understanding of mirrors in Western culture.</w:t>
      </w:r>
      <w:r>
        <w:fldChar w:fldCharType="begin"/>
      </w:r>
      <w:r>
        <w:rPr>
          <w:rStyle w:val="InternetLink"/>
          <w:vertAlign w:val="superscript"/>
        </w:rPr>
        <w:instrText> HYPERLINK "http://muse.jhu.edu.libproxy.mit.edu/journals/philosophy_east_and_west/v058/58.3.cline.html" \l "f55"</w:instrText>
      </w:r>
      <w:r>
        <w:rPr>
          <w:rStyle w:val="InternetLink"/>
          <w:vertAlign w:val="superscript"/>
        </w:rPr>
        <w:fldChar w:fldCharType="separate"/>
      </w:r>
      <w:r>
        <w:rPr>
          <w:rStyle w:val="InternetLink"/>
          <w:vertAlign w:val="superscript"/>
        </w:rPr>
        <w:t>55</w:t>
      </w:r>
      <w:r>
        <w:rPr>
          <w:rStyle w:val="InternetLink"/>
          <w:vertAlign w:val="superscript"/>
        </w:rPr>
        <w:fldChar w:fldCharType="end"/>
      </w:r>
      <w:r>
        <w:rPr/>
        <w:t xml:space="preserve"> When mirrors are not dirty, fogged, frost-covered, broken, or warped, they provide accurate representations of reality. Here we see the same view of mirrors that we saw in Kierkegaard's work: mirrors must be clear and transparent in order to function properly. They are not responsive objects, but passive reflectors of whatever comes before them, and the goal is always to have a clear mirror, free of impurities. While Kierkegaard focuses on the affective and volitional goal of having a heart like a mirror, Rorty discusses the epistemic goal of the mind as a mirror: the possession of "an unclouded Mirror of Nature."</w:t>
      </w:r>
      <w:r>
        <w:fldChar w:fldCharType="begin"/>
      </w:r>
      <w:r>
        <w:rPr>
          <w:rStyle w:val="InternetLink"/>
          <w:vertAlign w:val="superscript"/>
        </w:rPr>
        <w:instrText> HYPERLINK "http://muse.jhu.edu.libproxy.mit.edu/journals/philosophy_east_and_west/v058/58.3.cline.html" \l "f56"</w:instrText>
      </w:r>
      <w:r>
        <w:rPr>
          <w:rStyle w:val="InternetLink"/>
          <w:vertAlign w:val="superscript"/>
        </w:rPr>
        <w:fldChar w:fldCharType="separate"/>
      </w:r>
      <w:r>
        <w:rPr>
          <w:rStyle w:val="InternetLink"/>
          <w:vertAlign w:val="superscript"/>
        </w:rPr>
        <w:t>56</w:t>
      </w:r>
      <w:r>
        <w:rPr>
          <w:rStyle w:val="InternetLink"/>
          <w:vertAlign w:val="superscript"/>
        </w:rPr>
        <w:fldChar w:fldCharType="end"/>
      </w:r>
      <w:r>
        <w:rPr/>
        <w:t xml:space="preserve"> They share the same basic Western view that mirrors tell the truth. When functioning properly, they reflect objects exactly as they are. This understanding is an obvious contrast to the Chinese view, where mirrors are seen as responsive and productive objects with the power to illumine things. </w:t>
      </w:r>
      <w:r>
        <w:rPr>
          <w:b/>
          <w:bCs/>
        </w:rPr>
        <w:t>[End Page 347]</w:t>
      </w:r>
      <w:r>
        <w:rPr/>
        <w:t xml:space="preserve"> </w:t>
      </w:r>
    </w:p>
    <w:p>
      <w:pPr>
        <w:pStyle w:val="NormalWeb"/>
        <w:rPr/>
      </w:pPr>
      <w:r>
        <w:rPr/>
        <w:t>The most obvious difference between Rorty and the other philosophers we have studied is that their projects are fundamentally constructive in a way that Rorty's is not. For Zhuangzi, Xunzi, and Kierkegaard, a heart or mind like a mirror is a goal that one should pursue, whether it is the ideal state one wishes to achieve or a necessary condition for achieving a larger goal. They use the mirror metaphor to help their respective audiences understand what a particular state is like, and also to further develop the implications of their views about that state. While Kierkegaard and Zhuangzi use the mirror metaphor to describe and develop an understanding of the ideal spiritual state, Xunzi uses it to discuss one of the necessary conditions for learning about the Way. For Xunzi, unlike for Kierkegaard and Zhuangzi, a heart-mind like a mirror is one of many steps that are required on the path of ethical self-cultivation.</w:t>
      </w:r>
    </w:p>
    <w:p>
      <w:pPr>
        <w:pStyle w:val="NormalWeb"/>
        <w:rPr/>
      </w:pPr>
      <w:r>
        <w:rPr/>
        <w:t>Rorty's use of the mirror metaphor is a contrast to all of these approaches not only because his analysis is confined to epistemology, but also because the metaphor represents the subject of his critique. Rorty suggests that the mirror metaphor is the source of the problem in Western epistemology, and as such he maintains that it should be eliminated entirely from the vocabularies of Western epistemologists. This difference is quite penetrating, because while Rorty aims to show how a metaphor can be destructive within a philosophical tradition, the Zhuangzian, Xunzian, and Kierkegaardian uses of the mirror metaphor show how metaphors can be constructive. All of these uses of the mirror metaphor show how philosophically significant metaphors can be.</w:t>
      </w:r>
    </w:p>
    <w:p>
      <w:pPr>
        <w:pStyle w:val="Heading1"/>
        <w:rPr/>
      </w:pPr>
      <w:r>
        <w:rPr/>
        <w:t>The Mirror Metaphor in a Comparative Context</w:t>
      </w:r>
    </w:p>
    <w:p>
      <w:pPr>
        <w:pStyle w:val="NormalWeb"/>
        <w:rPr/>
      </w:pPr>
      <w:r>
        <w:rPr/>
        <w:t xml:space="preserve">In </w:t>
      </w:r>
      <w:r>
        <w:rPr>
          <w:i/>
          <w:iCs/>
        </w:rPr>
        <w:t>Effortless Action: Wu-wei as Conceptual Metaphor and Spiritual Ideal in Early China</w:t>
      </w:r>
      <w:r>
        <w:rPr/>
        <w:t>, Edward Slingerland argues that conceptual metaphor analysis is a productive method for comparative philosophy, and can be used as a tool for creating genuine cross-cultural dialogue. Slingerland writes, "I would venture to guess that, beneath the surface differences in conscious theological and political commitments, one would find deeper similarities between the various traditions' metaphorical models for self and self-cultivation."</w:t>
      </w:r>
      <w:r>
        <w:fldChar w:fldCharType="begin"/>
      </w:r>
      <w:r>
        <w:rPr>
          <w:rStyle w:val="InternetLink"/>
          <w:vertAlign w:val="superscript"/>
        </w:rPr>
        <w:instrText> HYPERLINK "http://muse.jhu.edu.libproxy.mit.edu/journals/philosophy_east_and_west/v058/58.3.cline.html" \l "f57"</w:instrText>
      </w:r>
      <w:r>
        <w:rPr>
          <w:rStyle w:val="InternetLink"/>
          <w:vertAlign w:val="superscript"/>
        </w:rPr>
        <w:fldChar w:fldCharType="separate"/>
      </w:r>
      <w:r>
        <w:rPr>
          <w:rStyle w:val="InternetLink"/>
          <w:vertAlign w:val="superscript"/>
        </w:rPr>
        <w:t>57</w:t>
      </w:r>
      <w:r>
        <w:rPr>
          <w:rStyle w:val="InternetLink"/>
          <w:vertAlign w:val="superscript"/>
        </w:rPr>
        <w:fldChar w:fldCharType="end"/>
      </w:r>
      <w:r>
        <w:rPr/>
        <w:t xml:space="preserve"> While Slingerland is clearly aware of the more obvious differences in the commitments of thinkers like Zhuangzi, Xunzi, Kierkegaard, and Rorty, he maintains that the differences between their "conscious commitments" are less significant than the fact that they use the same metaphors. As a result, Slingerland claims that identifying conceptual metaphors that are used across cultures and traditions can "enable a dialogue between culturally and linguistically dissimilar traditions that has the potential to improve our comprehension of both participants' positions."</w:t>
      </w:r>
      <w:r>
        <w:fldChar w:fldCharType="begin"/>
      </w:r>
      <w:r>
        <w:rPr>
          <w:rStyle w:val="InternetLink"/>
          <w:vertAlign w:val="superscript"/>
        </w:rPr>
        <w:instrText> HYPERLINK "http://muse.jhu.edu.libproxy.mit.edu/journals/philosophy_east_and_west/v058/58.3.cline.html" \l "f58"</w:instrText>
      </w:r>
      <w:r>
        <w:rPr>
          <w:rStyle w:val="InternetLink"/>
          <w:vertAlign w:val="superscript"/>
        </w:rPr>
        <w:fldChar w:fldCharType="separate"/>
      </w:r>
      <w:r>
        <w:rPr>
          <w:rStyle w:val="InternetLink"/>
          <w:vertAlign w:val="superscript"/>
        </w:rPr>
        <w:t>58</w:t>
      </w:r>
      <w:r>
        <w:rPr>
          <w:rStyle w:val="InternetLink"/>
          <w:vertAlign w:val="superscript"/>
        </w:rPr>
        <w:fldChar w:fldCharType="end"/>
      </w:r>
    </w:p>
    <w:p>
      <w:pPr>
        <w:pStyle w:val="NormalWeb"/>
        <w:rPr/>
      </w:pPr>
      <w:r>
        <w:rPr/>
        <w:t xml:space="preserve">Following the work of cognitive linguists George Lakoff and Mark Johnson, Slingerland adopts the view that human cognition depends heavily on metaphor, which is why he maintains that the use of certain metaphorical models reveals "deeper similarities" between different cultures, even when other aspects of those cultures seem to be very different. Slingerland writes: </w:t>
      </w:r>
      <w:r>
        <w:rPr>
          <w:b/>
          <w:bCs/>
        </w:rPr>
        <w:t>[End Page 348]</w:t>
      </w:r>
      <w:r>
        <w:rPr/>
        <w:t xml:space="preserve"> </w:t>
      </w:r>
    </w:p>
    <w:p>
      <w:pPr>
        <w:pStyle w:val="NormalWeb"/>
        <w:ind w:start="720" w:end="720" w:hanging="0"/>
        <w:rPr/>
      </w:pPr>
      <w:r>
        <w:rPr/>
        <w:t xml:space="preserve">Under the cognitive linguistic model, the basic schemas underlying language and other surface expressions of conceptual structure are motivated by the body and the physical environment in which it is located, which—shared in all general respects by any member of the species </w:t>
      </w:r>
      <w:r>
        <w:rPr>
          <w:i/>
          <w:iCs/>
        </w:rPr>
        <w:t>Homo sapiens</w:t>
      </w:r>
      <w:r>
        <w:rPr/>
        <w:t>, ancient or modern—provides us with a bridge into the experience of "the other." Metaphor, then, can serve as a linguistic "sign" of otherwise inaccessible, shared, deep conceptual structure.</w:t>
      </w:r>
      <w:r>
        <w:fldChar w:fldCharType="begin"/>
      </w:r>
      <w:r>
        <w:rPr>
          <w:rStyle w:val="InternetLink"/>
          <w:vertAlign w:val="superscript"/>
        </w:rPr>
        <w:instrText> HYPERLINK "http://muse.jhu.edu.libproxy.mit.edu/journals/philosophy_east_and_west/v058/58.3.cline.html" \l "f59"</w:instrText>
      </w:r>
      <w:r>
        <w:rPr>
          <w:rStyle w:val="InternetLink"/>
          <w:vertAlign w:val="superscript"/>
        </w:rPr>
        <w:fldChar w:fldCharType="separate"/>
      </w:r>
      <w:r>
        <w:rPr>
          <w:rStyle w:val="InternetLink"/>
          <w:vertAlign w:val="superscript"/>
        </w:rPr>
        <w:t>59</w:t>
      </w:r>
      <w:r>
        <w:rPr>
          <w:rStyle w:val="InternetLink"/>
          <w:vertAlign w:val="superscript"/>
        </w:rPr>
        <w:fldChar w:fldCharType="end"/>
      </w:r>
    </w:p>
    <w:p>
      <w:pPr>
        <w:pStyle w:val="Continued"/>
        <w:rPr/>
      </w:pPr>
      <w:r>
        <w:rPr/>
        <w:t>According to conceptual metaphor theory, "sensorimotor structures play a crucial role in shaping our concepts and modes of reasoning," and the most basic of these structures are "primary schemas" that result in a set of "primary metaphors" or "metaphor schemas."</w:t>
      </w:r>
      <w:r>
        <w:fldChar w:fldCharType="begin"/>
      </w:r>
      <w:r>
        <w:rPr>
          <w:rStyle w:val="InternetLink"/>
          <w:vertAlign w:val="superscript"/>
        </w:rPr>
        <w:instrText> HYPERLINK "http://muse.jhu.edu.libproxy.mit.edu/journals/philosophy_east_and_west/v058/58.3.cline.html" \l "f60"</w:instrText>
      </w:r>
      <w:r>
        <w:rPr>
          <w:rStyle w:val="InternetLink"/>
          <w:vertAlign w:val="superscript"/>
        </w:rPr>
        <w:fldChar w:fldCharType="separate"/>
      </w:r>
      <w:r>
        <w:rPr>
          <w:rStyle w:val="InternetLink"/>
          <w:vertAlign w:val="superscript"/>
        </w:rPr>
        <w:t>60</w:t>
      </w:r>
      <w:r>
        <w:rPr>
          <w:rStyle w:val="InternetLink"/>
          <w:vertAlign w:val="superscript"/>
        </w:rPr>
        <w:fldChar w:fldCharType="end"/>
      </w:r>
      <w:r>
        <w:rPr/>
        <w:t xml:space="preserve"> People use metaphor schemas as their primary way of reasoning about themselves and the world.</w:t>
      </w:r>
      <w:r>
        <w:fldChar w:fldCharType="begin"/>
      </w:r>
      <w:r>
        <w:rPr>
          <w:rStyle w:val="InternetLink"/>
          <w:vertAlign w:val="superscript"/>
        </w:rPr>
        <w:instrText> HYPERLINK "http://muse.jhu.edu.libproxy.mit.edu/journals/philosophy_east_and_west/v058/58.3.cline.html" \l "f61"</w:instrText>
      </w:r>
      <w:r>
        <w:rPr>
          <w:rStyle w:val="InternetLink"/>
          <w:vertAlign w:val="superscript"/>
        </w:rPr>
        <w:fldChar w:fldCharType="separate"/>
      </w:r>
      <w:r>
        <w:rPr>
          <w:rStyle w:val="InternetLink"/>
          <w:vertAlign w:val="superscript"/>
        </w:rPr>
        <w:t>61</w:t>
      </w:r>
      <w:r>
        <w:rPr>
          <w:rStyle w:val="InternetLink"/>
          <w:vertAlign w:val="superscript"/>
        </w:rPr>
        <w:fldChar w:fldCharType="end"/>
      </w:r>
      <w:r>
        <w:rPr/>
        <w:t xml:space="preserve"> This is why Slingerland maintains that the use of the same metaphors indicates deeper similarities than those indicated by the conscious commitments of different cultures, traditions, or thinkers. Accordingly, he maintains that the comparative study of metaphor schemas "represents a new, and potentially more interesting, approach to the study of intellectual history, in the sense that this conceptual 'deep grammar' is in certain respects more revealing and significant than the explicit theories themselves."</w:t>
      </w:r>
      <w:r>
        <w:fldChar w:fldCharType="begin"/>
      </w:r>
      <w:r>
        <w:rPr>
          <w:rStyle w:val="InternetLink"/>
          <w:vertAlign w:val="superscript"/>
        </w:rPr>
        <w:instrText> HYPERLINK "http://muse.jhu.edu.libproxy.mit.edu/journals/philosophy_east_and_west/v058/58.3.cline.html" \l "f62"</w:instrText>
      </w:r>
      <w:r>
        <w:rPr>
          <w:rStyle w:val="InternetLink"/>
          <w:vertAlign w:val="superscript"/>
        </w:rPr>
        <w:fldChar w:fldCharType="separate"/>
      </w:r>
      <w:r>
        <w:rPr>
          <w:rStyle w:val="InternetLink"/>
          <w:vertAlign w:val="superscript"/>
        </w:rPr>
        <w:t>62</w:t>
      </w:r>
      <w:r>
        <w:rPr>
          <w:rStyle w:val="InternetLink"/>
          <w:vertAlign w:val="superscript"/>
        </w:rPr>
        <w:fldChar w:fldCharType="end"/>
      </w:r>
    </w:p>
    <w:p>
      <w:pPr>
        <w:pStyle w:val="NormalWeb"/>
        <w:rPr/>
      </w:pPr>
      <w:r>
        <w:rPr/>
        <w:t>In light of the evidence that we have seen of the very different uses and understandings of the mirror metaphor, Slingerland's claim about how we should understand the shared use of metaphors across cultural and philosophical traditions is of particular interest.</w:t>
      </w:r>
      <w:r>
        <w:fldChar w:fldCharType="begin"/>
      </w:r>
      <w:r>
        <w:rPr>
          <w:rStyle w:val="InternetLink"/>
          <w:vertAlign w:val="superscript"/>
        </w:rPr>
        <w:instrText> HYPERLINK "http://muse.jhu.edu.libproxy.mit.edu/journals/philosophy_east_and_west/v058/58.3.cline.html" \l "f63"</w:instrText>
      </w:r>
      <w:r>
        <w:rPr>
          <w:rStyle w:val="InternetLink"/>
          <w:vertAlign w:val="superscript"/>
        </w:rPr>
        <w:fldChar w:fldCharType="separate"/>
      </w:r>
      <w:r>
        <w:rPr>
          <w:rStyle w:val="InternetLink"/>
          <w:vertAlign w:val="superscript"/>
        </w:rPr>
        <w:t>63</w:t>
      </w:r>
      <w:r>
        <w:rPr>
          <w:rStyle w:val="InternetLink"/>
          <w:vertAlign w:val="superscript"/>
        </w:rPr>
        <w:fldChar w:fldCharType="end"/>
      </w:r>
      <w:r>
        <w:rPr/>
        <w:t xml:space="preserve"> Slingerland's basic suggestion is that the use of the same metaphor by different philosophers tells us something deeper about their views than their conscious commitments or explicit theories. Based on what he says, it seems that by "conscious commitments" and "explicit theories" Slingerland means any propositional beliefs, attitudes, or claims that are not expressed metaphorically. According to the view that Slingerland presents, non-metaphorical claims would be less basic than metaphorical expressions because metaphors are part of the fundamental structure of human thought. But even if one accepts the view that human cognition depends heavily on metaphor, it is not necessarily the case that metaphorical similarities are more philosophically significant than conceptual differences. The main problem that the preceding analysis of the mirror metaphor poses for Slingerland's view is that the thinkers we have studied not only use the metaphor to defend different positions but also understand mirrors in culturally specific ways. To formulate this in terms of Slingerland's theory, it seems that there is not a shared metaphor schema that the mirror metaphor expresses in all of these cases. Indeed, the fact that Zhuangzi, Xunzi, Kierkegaard, and Rorty all use the same metaphor is a relatively thin similarity because they use it in such different ways.</w:t>
      </w:r>
    </w:p>
    <w:p>
      <w:pPr>
        <w:pStyle w:val="NormalWeb"/>
        <w:rPr/>
      </w:pPr>
      <w:r>
        <w:rPr/>
        <w:t xml:space="preserve">We have already noted the important difference between Rorty's use of the mirror metaphor to describe an epistemic problem, which serves as a contrast to Zhuangzi, Xunzi, and Kierkegaard, for whom the mirror metaphor is a way of talking about a desirable state that must be cultivated. We have also seen the differences between Zhuangzi's constitutive use and Xunzi's preparatory use of the mirror metaphor. Likewise, Kierkegaard's distinctively Christian application of the mirror metaphor serves as a contrast to Rorty's discussion of the mirror metaphor in Western </w:t>
      </w:r>
      <w:r>
        <w:rPr>
          <w:b/>
          <w:bCs/>
        </w:rPr>
        <w:t>[End Page 349]</w:t>
      </w:r>
      <w:r>
        <w:rPr/>
        <w:t xml:space="preserve"> epistemology. However, perhaps the most significant difference we have seen is rooted in their culture-specific understandings of mirrors. While Zhuangzi and Xunzi maintain a distinctively Chinese understanding of mirrors as responsive and illuminative, Kierkegaard and Rorty use the metaphor of a mirror to describe and develop the idea of the heart or mind as passive and transparent. In fact, Rorty maintains that Western philosophers have traditionally been </w:t>
      </w:r>
      <w:r>
        <w:rPr>
          <w:i/>
          <w:iCs/>
        </w:rPr>
        <w:t>deeply troubled</w:t>
      </w:r>
      <w:r>
        <w:rPr/>
        <w:t xml:space="preserve"> by the idea that the mind might not be functioning in this way. In the Western uses of the metaphor that we have examined, the goal is passive reflection—nothing more, nothing less. The early Chinese, on the other hand, understood mirrors to be active instruments infused with religious power largely because of their beliefs about the cosmological significance of water and fire. These views were expressed and further developed through the use of mirrors to produce these elements in a ritual context. These kinds of differences show that the shared use of metaphors does not necessarily point to deeper similarities between different views or to a shared metaphor schema that is part of the deep structure of thought.</w:t>
      </w:r>
    </w:p>
    <w:p>
      <w:pPr>
        <w:pStyle w:val="NormalWeb"/>
        <w:rPr/>
      </w:pPr>
      <w:r>
        <w:rPr/>
        <w:t xml:space="preserve">Slingerland briefly discusses the mirror metaphor in the </w:t>
      </w:r>
      <w:r>
        <w:rPr>
          <w:i/>
          <w:iCs/>
        </w:rPr>
        <w:t>Zhuangzi</w:t>
      </w:r>
      <w:r>
        <w:rPr/>
        <w:t xml:space="preserve"> and the </w:t>
      </w:r>
      <w:r>
        <w:rPr>
          <w:i/>
          <w:iCs/>
        </w:rPr>
        <w:t>Xunzi</w:t>
      </w:r>
      <w:r>
        <w:rPr/>
        <w:t xml:space="preserve">. He does not offer a comparison of the metaphor in these two thinkers, but surprisingly, according to his analysis, Zhuangzi and Xunzi are not using the same metaphor schema when they use the mirror metaphor. Slingerland maintains that the mirror metaphor in the </w:t>
      </w:r>
      <w:r>
        <w:rPr>
          <w:i/>
          <w:iCs/>
        </w:rPr>
        <w:t>Zhuangzi</w:t>
      </w:r>
      <w:r>
        <w:rPr/>
        <w:t xml:space="preserve"> is "linked to the SELF AS CONTAINER metaphor: a mirror works only because it is itself 'empty,' and merely responds spontaneously to what is put in front of it. Similarly, the heart/mind of the Perfected Person—once emptied through psychic fasting—is completely open and responsive to things. The mirror-response is thus the behavioral correlate to cognitive emptiness or clarity."</w:t>
      </w:r>
      <w:r>
        <w:fldChar w:fldCharType="begin"/>
      </w:r>
      <w:r>
        <w:rPr>
          <w:rStyle w:val="InternetLink"/>
          <w:vertAlign w:val="superscript"/>
        </w:rPr>
        <w:instrText> HYPERLINK "http://muse.jhu.edu.libproxy.mit.edu/journals/philosophy_east_and_west/v058/58.3.cline.html" \l "f64"</w:instrText>
      </w:r>
      <w:r>
        <w:rPr>
          <w:rStyle w:val="InternetLink"/>
          <w:vertAlign w:val="superscript"/>
        </w:rPr>
        <w:fldChar w:fldCharType="separate"/>
      </w:r>
      <w:r>
        <w:rPr>
          <w:rStyle w:val="InternetLink"/>
          <w:vertAlign w:val="superscript"/>
        </w:rPr>
        <w:t>64</w:t>
      </w:r>
      <w:r>
        <w:rPr>
          <w:rStyle w:val="InternetLink"/>
          <w:vertAlign w:val="superscript"/>
        </w:rPr>
        <w:fldChar w:fldCharType="end"/>
      </w:r>
      <w:r>
        <w:rPr/>
        <w:t xml:space="preserve"> It seems that Slingerland connects the mirror metaphor with the "self as container" metaphor schema because of Zhuangzi's claim that perfected persons, like mirrors, "respond without storing." Slingerland's point, then, seems to be that the self and mirrors are both empty, like containers. One problem with this analysis is that the idea of a mirror being empty (free of defilements) and the idea of a container being empty (having nothing in it) are significantly different, making the supposed connection between the mirror metaphor and the "self as container" metaphor schema appear to be rather thin.</w:t>
      </w:r>
      <w:r>
        <w:fldChar w:fldCharType="begin"/>
      </w:r>
      <w:r>
        <w:rPr>
          <w:rStyle w:val="InternetLink"/>
          <w:vertAlign w:val="superscript"/>
        </w:rPr>
        <w:instrText> HYPERLINK "http://muse.jhu.edu.libproxy.mit.edu/journals/philosophy_east_and_west/v058/58.3.cline.html" \l "f65"</w:instrText>
      </w:r>
      <w:r>
        <w:rPr>
          <w:rStyle w:val="InternetLink"/>
          <w:vertAlign w:val="superscript"/>
        </w:rPr>
        <w:fldChar w:fldCharType="separate"/>
      </w:r>
      <w:r>
        <w:rPr>
          <w:rStyle w:val="InternetLink"/>
          <w:vertAlign w:val="superscript"/>
        </w:rPr>
        <w:t>65</w:t>
      </w:r>
      <w:r>
        <w:rPr>
          <w:rStyle w:val="InternetLink"/>
          <w:vertAlign w:val="superscript"/>
        </w:rPr>
        <w:fldChar w:fldCharType="end"/>
      </w:r>
    </w:p>
    <w:p>
      <w:pPr>
        <w:pStyle w:val="NormalWeb"/>
        <w:rPr/>
      </w:pPr>
      <w:r>
        <w:rPr/>
        <w:t xml:space="preserve">Perhaps more importantly, this analysis neglects the other important dimensions of Zhuangzi's use of the mirror metaphor. Although it is true that mirrors "respond without storing," as we have seen, this is only one of many aspects of Zhuangzi's view about the heart-mind that he uses the mirror metaphor to describe and develop. For example, the assignment of the "self as container" metaphor schema does not explicate Zhuangzi's use of the mirror metaphor to show how the heart-mind illumines and stills other things. A similar problem arises with his analysis of the metaphor in the </w:t>
      </w:r>
      <w:r>
        <w:rPr>
          <w:i/>
          <w:iCs/>
        </w:rPr>
        <w:t>Xunzi</w:t>
      </w:r>
      <w:r>
        <w:rPr/>
        <w:t>, where he says it is "associated with the HEART/MIND AS LIGHT SOURCE scheme and 'brightness' (</w:t>
      </w:r>
      <w:r>
        <w:rPr>
          <w:i/>
          <w:iCs/>
        </w:rPr>
        <w:t>ming</w:t>
      </w:r>
      <w:r>
        <w:rPr/>
        <w:t>) metaphor through a connection that is perhaps not too much of a leap for a native English speaker, but which was even more natural to a Warring States Chinese reader, for whom mirrors were thought to gather up and project—not merely reflect—light."</w:t>
      </w:r>
      <w:r>
        <w:fldChar w:fldCharType="begin"/>
      </w:r>
      <w:r>
        <w:rPr>
          <w:rStyle w:val="InternetLink"/>
          <w:vertAlign w:val="superscript"/>
        </w:rPr>
        <w:instrText> HYPERLINK "http://muse.jhu.edu.libproxy.mit.edu/journals/philosophy_east_and_west/v058/58.3.cline.html" \l "f66"</w:instrText>
      </w:r>
      <w:r>
        <w:rPr>
          <w:rStyle w:val="InternetLink"/>
          <w:vertAlign w:val="superscript"/>
        </w:rPr>
        <w:fldChar w:fldCharType="separate"/>
      </w:r>
      <w:r>
        <w:rPr>
          <w:rStyle w:val="InternetLink"/>
          <w:vertAlign w:val="superscript"/>
        </w:rPr>
        <w:t>66</w:t>
      </w:r>
      <w:r>
        <w:rPr>
          <w:rStyle w:val="InternetLink"/>
          <w:vertAlign w:val="superscript"/>
        </w:rPr>
        <w:fldChar w:fldCharType="end"/>
      </w:r>
      <w:r>
        <w:rPr/>
        <w:t xml:space="preserve"> Once again, the main problem with </w:t>
      </w:r>
      <w:r>
        <w:rPr>
          <w:b/>
          <w:bCs/>
        </w:rPr>
        <w:t>[End Page 350]</w:t>
      </w:r>
      <w:r>
        <w:rPr/>
        <w:t xml:space="preserve"> Slingerland's analysis is that it highlights only one of the things Xunzi uses the mirror metaphor to express, namely the idea that mirrors can illumine things. Here we see a couple of problems with the conceptual metaphor approach as Slingerland uses it, because the analysis only reveals one aspect of the metaphor's meaning in the text. In addition, it is unclear why Slingerland highlights the ideas of "responding without storing" and "brightness" as constituting the metaphor schemas that the mirror metaphor expresses in each case, especially when other dimensions of the metaphor seem to be more pervasive, such as Zhuangzi's concern with stillness and Xunzi's concern with clarity.</w:t>
      </w:r>
    </w:p>
    <w:p>
      <w:pPr>
        <w:pStyle w:val="NormalWeb"/>
        <w:rPr/>
      </w:pPr>
      <w:r>
        <w:rPr/>
        <w:t>Now it may be the case that Slingerland's way of emphasizing the different uses of the mirror metaphor in Zhuangzi and Xunzi is to assign them different metaphor schemas. But there are a couple of difficulties with this interpretation of his analysis. First, as we have seen, it is not obviously the case that Zhuangzi most strongly emphasizes something like the "self as container" idea in his use of the mirror metaphor, or that Xunzi solely expresses the idea of illumination. To the contrary, both figures emphasize a number of qualities, including responsiveness, clarity, stillness, and illumination. Additionally, if we interpret Slingerland's assignment of different metaphor schemas as his way of emphasizing the different ways in which the metaphor is used in Zhuangzi and Xunzi, it would seem to undermine his claim that there are "deeper similarities between the various traditions' metaphorical models for self and self-cultivation." If Slingerland aims to defend this claim, one would expect him to assign the same metaphor schemas to the same metaphors.</w:t>
      </w:r>
    </w:p>
    <w:p>
      <w:pPr>
        <w:pStyle w:val="NormalWeb"/>
        <w:rPr/>
      </w:pPr>
      <w:r>
        <w:rPr/>
        <w:t xml:space="preserve">Before concluding, I would like briefly to entertain a possible objection to my analysis. Given the foregoing discussion, one might object to the claim that the four philosophers under study are using the same metaphor, because Zhuangzi and Xunzi discuss the heart-mind, while Kierkegaard discusses the heart and Rorty discusses the mind. The way these thinkers understand these concepts certainly plays a crucial role in the way they use the mirror metaphor, but the question of whether or not they are using the same metaphor depends largely on the nature of what the heart-mind, heart, and mind are doing when they are mirroring or reflecting things. It seems clear that all four of these philosophers are describing the state of some central and essential part of a human being when they say that the heart-mind, heart, or mind functions as a mirror when it achieves a certain state. Zhuangzi and Xunzi maintain that the heart-mind of perfected persons, sages, or </w:t>
      </w:r>
      <w:r>
        <w:rPr>
          <w:i/>
          <w:iCs/>
        </w:rPr>
        <w:t>junzi</w:t>
      </w:r>
      <w:r>
        <w:rPr/>
        <w:t xml:space="preserve"> is the thing that responds appropriately to what comes before it, as a result of being calm and clear. Kierkegaard sees the heart as the source of one's decision to "will one thing" and respond to God in loving submission, which is why he calls it our "innermost being." According to Rorty's description of the mirror metaphor, the mind is the seat of all knowledge about the world, and its job is to mirror the state of affairs accurately. In all of these cases, the heart-mind, heart, or mind is the seat of the volitional, cognitive, or affective powers that constitute "mirroring." They also refer to the same object—a mirror—even if they conceive of this object in somewhat different ways.</w:t>
      </w:r>
    </w:p>
    <w:p>
      <w:pPr>
        <w:pStyle w:val="NormalWeb"/>
        <w:rPr/>
      </w:pPr>
      <w:r>
        <w:rPr/>
        <w:t xml:space="preserve">As a result of these resemblances between their accounts, I think it is relatively clear that at least in some sense they are using the same metaphor. However, even if </w:t>
      </w:r>
      <w:r>
        <w:rPr>
          <w:b/>
          <w:bCs/>
        </w:rPr>
        <w:t>[End Page 351]</w:t>
      </w:r>
      <w:r>
        <w:rPr/>
        <w:t xml:space="preserve"> one does not accept this conclusion, it is still the case that the accounts of Zhuangzi, Xunzi, Kierkegaard, and Rorty appeal to the metaphor of a mirror to describe what the heart-mind, heart, or mind does. The different ways in which they each use the metaphor in question can be instructive regardless of whether or not one maintains that they are using exactly the same metaphor.</w:t>
      </w:r>
    </w:p>
    <w:p>
      <w:pPr>
        <w:pStyle w:val="NormalWeb"/>
        <w:rPr/>
      </w:pPr>
      <w:r>
        <w:rPr/>
        <w:t>My analysis shows that although Zhuangzi, Xunzi, Kierkegaard, and Rorty all discuss the heart or mind as a mirror, their different uses of the mirror metaphor reveal very few substantive similarities between their respective positions. Even Zhuangzi and Xunzi, who share a cultural understanding of mirrors, use the metaphor of the heart-mind as a mirror to illustrate and develop opposing positions. A review of these different understandings shows that metaphors must be placed in the proper cultural and philosophical settings before we can fully appreciate their meaning and significance. Then, by comparing and contrasting the different ways that philosophers of various traditions use a particular metaphor, we can see more clearly what each of the philosophers under study sets out to accomplish, and better understand the implications of their respective positions. This shows that while the analysis of metaphors often is crucial for understanding what different philosophers are saying, such analysis primarily involves the careful study of culture and philosophy and not an understanding of primary metaphors or metaphor schemas. It may be that the mirror metaphor is a poor example for illustrating the power of conceptual metaphor analysis for comparative philosophy. This essay does not aspire to assess the value of this general approach. But in the case of the mirror metaphor, careful cultural and philosophical analysis succeeds where conceptual metaphor analysis fails to offer the kind of deep, precise, and comprehensive understanding that philosophers seek.</w:t>
      </w:r>
    </w:p>
    <w:p>
      <w:pPr>
        <w:pStyle w:val="Heading1"/>
        <w:rPr/>
      </w:pPr>
      <w:r>
        <w:rPr/>
        <w:t>Acknowledgement</w:t>
      </w:r>
    </w:p>
    <w:p>
      <w:pPr>
        <w:pStyle w:val="NormalWeb"/>
        <w:rPr/>
      </w:pPr>
      <w:r>
        <w:rPr/>
        <w:t>I would like to thank Philip J. Ivanhoe, Henry Rosemont, Jr., Stuart Rosenbaum, Michael R. Slater, members of the audience at the 2004 Annual Conference of the Society for Asian and Comparative Philosophy, and two anonymous referees for helpful comments and suggestions on earlier versions of this essay. Special thanks go to Philip J. Ivanhoe for the original idea of comparing Rorty's use of the mirror metaphor with early Chinese uses. I owe him a debt of gratitude for calling this issue to my attention and encouraging me to explore it further in my own work.</w:t>
      </w:r>
    </w:p>
    <w:p>
      <w:pPr>
        <w:pStyle w:val="Heading1"/>
        <w:rPr/>
      </w:pPr>
      <w:r>
        <w:rPr/>
        <w:t>Notes</w:t>
      </w:r>
    </w:p>
    <w:p>
      <w:pPr>
        <w:pStyle w:val="NormalWeb"/>
        <w:rPr/>
      </w:pPr>
      <w:r>
        <w:fldChar w:fldCharType="begin"/>
      </w:r>
      <w:r>
        <w:rPr>
          <w:rStyle w:val="InternetLink"/>
        </w:rPr>
        <w:instrText> HYPERLINK "http://muse.jhu.edu.libproxy.mit.edu/journals/philosophy_east_and_west/v058/58.3.cline.html" \l "f1-text"</w:instrText>
      </w:r>
      <w:r>
        <w:rPr>
          <w:rStyle w:val="InternetLink"/>
        </w:rPr>
        <w:fldChar w:fldCharType="separate"/>
      </w:r>
      <w:r>
        <w:rPr>
          <w:rStyle w:val="InternetLink"/>
        </w:rPr>
        <w:t>1. </w:t>
      </w:r>
      <w:r>
        <w:rPr>
          <w:rStyle w:val="InternetLink"/>
        </w:rPr>
        <w:fldChar w:fldCharType="end"/>
      </w:r>
      <w:r>
        <w:rPr/>
        <w:t xml:space="preserve">Translation adapted from Burton Watson, </w:t>
      </w:r>
      <w:r>
        <w:rPr>
          <w:i/>
          <w:iCs/>
        </w:rPr>
        <w:t>The Complete Works of Chuang Tzu</w:t>
      </w:r>
      <w:r>
        <w:rPr/>
        <w:t xml:space="preserve"> (New York: Columbia University Press, 1968), p. 142 (chap. 13).</w:t>
      </w:r>
    </w:p>
    <w:p>
      <w:pPr>
        <w:pStyle w:val="NormalWeb"/>
        <w:rPr/>
      </w:pPr>
      <w:r>
        <w:fldChar w:fldCharType="begin"/>
      </w:r>
      <w:r>
        <w:rPr>
          <w:rStyle w:val="InternetLink"/>
        </w:rPr>
        <w:instrText> HYPERLINK "http://muse.jhu.edu.libproxy.mit.edu/journals/philosophy_east_and_west/v058/58.3.cline.html" \l "f2-text"</w:instrText>
      </w:r>
      <w:r>
        <w:rPr>
          <w:rStyle w:val="InternetLink"/>
        </w:rPr>
        <w:fldChar w:fldCharType="separate"/>
      </w:r>
      <w:r>
        <w:rPr>
          <w:rStyle w:val="InternetLink"/>
        </w:rPr>
        <w:t>2. </w:t>
      </w:r>
      <w:r>
        <w:rPr>
          <w:rStyle w:val="InternetLink"/>
        </w:rPr>
        <w:fldChar w:fldCharType="end"/>
      </w:r>
      <w:r>
        <w:rPr/>
        <w:t xml:space="preserve">Translation adapted from John Knoblock, </w:t>
      </w:r>
      <w:r>
        <w:rPr>
          <w:i/>
          <w:iCs/>
        </w:rPr>
        <w:t>Xunzi: A Translation and Study of the Complete Works</w:t>
      </w:r>
      <w:r>
        <w:rPr/>
        <w:t>, vol. 3 (Stanford: Stanford University Press, 1994), p. 107 (Xunzi 21.7b).</w:t>
      </w:r>
    </w:p>
    <w:p>
      <w:pPr>
        <w:pStyle w:val="NormalWeb"/>
        <w:rPr/>
      </w:pPr>
      <w:r>
        <w:fldChar w:fldCharType="begin"/>
      </w:r>
      <w:r>
        <w:rPr>
          <w:rStyle w:val="InternetLink"/>
        </w:rPr>
        <w:instrText> HYPERLINK "http://muse.jhu.edu.libproxy.mit.edu/journals/philosophy_east_and_west/v058/58.3.cline.html" \l "f3-text"</w:instrText>
      </w:r>
      <w:r>
        <w:rPr>
          <w:rStyle w:val="InternetLink"/>
        </w:rPr>
        <w:fldChar w:fldCharType="separate"/>
      </w:r>
      <w:r>
        <w:rPr>
          <w:rStyle w:val="InternetLink"/>
        </w:rPr>
        <w:t>3. </w:t>
      </w:r>
      <w:r>
        <w:rPr>
          <w:rStyle w:val="InternetLink"/>
        </w:rPr>
        <w:fldChar w:fldCharType="end"/>
      </w:r>
      <w:r>
        <w:rPr/>
        <w:t xml:space="preserve">For helpful studies of the mirror metaphor in Chinese thought, see Paul Demieville, "The Mirror of the Mind," trans. Neal Donner, in Peter N. Gregory, ed., </w:t>
      </w:r>
      <w:r>
        <w:rPr>
          <w:b/>
          <w:bCs/>
        </w:rPr>
        <w:t>[End Page 352]</w:t>
      </w:r>
      <w:r>
        <w:rPr/>
        <w:t xml:space="preserve"> </w:t>
      </w:r>
      <w:r>
        <w:rPr>
          <w:i/>
          <w:iCs/>
        </w:rPr>
        <w:t>Sudden and Gradual: Approaches to Enlightenment in Chinese Thought</w:t>
      </w:r>
      <w:r>
        <w:rPr/>
        <w:t xml:space="preserve"> (Honolulu: University of Hawai'i Press, 1987), pp. 13–40 (originally published as "Le Miroir Spirituel," Sinologica 1 [2] [1947]: 112–137); Harold H. Oshima, "A Metaphorical Analysis of the Concept of Mind in Chuang-Tzu," in Victor H. Mair, ed., </w:t>
      </w:r>
      <w:r>
        <w:rPr>
          <w:i/>
          <w:iCs/>
        </w:rPr>
        <w:t>Experimental Essays on Chuang-tzu</w:t>
      </w:r>
      <w:r>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rPr>
        <w:t>The Sense of Antirationalism: The Religious Thought of Zhuangzi and Kierkegaard</w:t>
      </w:r>
      <w:r>
        <w:rPr/>
        <w:t xml:space="preserve"> (New York: Seven Bridges Press, 2000), pp. 38–39, 56, 71.</w:t>
      </w:r>
    </w:p>
    <w:p>
      <w:pPr>
        <w:pStyle w:val="NormalWeb"/>
        <w:rPr/>
      </w:pPr>
      <w:r>
        <w:fldChar w:fldCharType="begin"/>
      </w:r>
      <w:r>
        <w:rPr>
          <w:rStyle w:val="InternetLink"/>
        </w:rPr>
        <w:instrText> HYPERLINK "http://muse.jhu.edu.libproxy.mit.edu/journals/philosophy_east_and_west/v058/58.3.cline.html" \l "f4-text"</w:instrText>
      </w:r>
      <w:r>
        <w:rPr>
          <w:rStyle w:val="InternetLink"/>
        </w:rPr>
        <w:fldChar w:fldCharType="separate"/>
      </w:r>
      <w:r>
        <w:rPr>
          <w:rStyle w:val="InternetLink"/>
        </w:rPr>
        <w:t>4. </w:t>
      </w:r>
      <w:r>
        <w:rPr>
          <w:rStyle w:val="InternetLink"/>
        </w:rPr>
        <w:fldChar w:fldCharType="end"/>
      </w:r>
      <w:r>
        <w:rPr/>
        <w:t xml:space="preserve">Søren Kierkegaard, </w:t>
      </w:r>
      <w:r>
        <w:rPr>
          <w:i/>
          <w:iCs/>
        </w:rPr>
        <w:t>Purity of Heart Is to Will One Thing</w:t>
      </w:r>
      <w:r>
        <w:rPr/>
        <w:t xml:space="preserve">, trans. Douglas Steere (New York: Harper and Brothers, 1956), p. 177. Part 1 of Kierkegaard's work </w:t>
      </w:r>
      <w:r>
        <w:rPr>
          <w:i/>
          <w:iCs/>
        </w:rPr>
        <w:t>Upbuilding Discourses in Various Spirits</w:t>
      </w:r>
      <w:r>
        <w:rPr/>
        <w:t xml:space="preserve"> was originally published in English under the title </w:t>
      </w:r>
      <w:r>
        <w:rPr>
          <w:i/>
          <w:iCs/>
        </w:rPr>
        <w:t>Purity of Heart Is to Will One Thing</w:t>
      </w:r>
      <w:r>
        <w:rPr/>
        <w:t>. Throughout this essay, I refer to this edition of the text.</w:t>
      </w:r>
    </w:p>
    <w:p>
      <w:pPr>
        <w:pStyle w:val="NormalWeb"/>
        <w:rPr/>
      </w:pPr>
      <w:r>
        <w:fldChar w:fldCharType="begin"/>
      </w:r>
      <w:r>
        <w:rPr>
          <w:rStyle w:val="InternetLink"/>
        </w:rPr>
        <w:instrText> HYPERLINK "http://muse.jhu.edu.libproxy.mit.edu/journals/philosophy_east_and_west/v058/58.3.cline.html" \l "f5-text"</w:instrText>
      </w:r>
      <w:r>
        <w:rPr>
          <w:rStyle w:val="InternetLink"/>
        </w:rPr>
        <w:fldChar w:fldCharType="separate"/>
      </w:r>
      <w:r>
        <w:rPr>
          <w:rStyle w:val="InternetLink"/>
        </w:rPr>
        <w:t>5. </w:t>
      </w:r>
      <w:r>
        <w:rPr>
          <w:rStyle w:val="InternetLink"/>
        </w:rPr>
        <w:fldChar w:fldCharType="end"/>
      </w:r>
      <w:r>
        <w:rPr/>
        <w:t xml:space="preserve">Richard Rorty, </w:t>
      </w:r>
      <w:r>
        <w:rPr>
          <w:i/>
          <w:iCs/>
        </w:rPr>
        <w:t>Philosophy and the Mirror of Nature</w:t>
      </w:r>
      <w:r>
        <w:rPr/>
        <w:t xml:space="preserve"> (Princeton: Princeton University Press, 1979), p. 12.</w:t>
      </w:r>
    </w:p>
    <w:p>
      <w:pPr>
        <w:pStyle w:val="NormalWeb"/>
        <w:rPr/>
      </w:pPr>
      <w:r>
        <w:fldChar w:fldCharType="begin"/>
      </w:r>
      <w:r>
        <w:rPr>
          <w:rStyle w:val="InternetLink"/>
        </w:rPr>
        <w:instrText> HYPERLINK "http://muse.jhu.edu.libproxy.mit.edu/journals/philosophy_east_and_west/v058/58.3.cline.html" \l "f6-text"</w:instrText>
      </w:r>
      <w:r>
        <w:rPr>
          <w:rStyle w:val="InternetLink"/>
        </w:rPr>
        <w:fldChar w:fldCharType="separate"/>
      </w:r>
      <w:r>
        <w:rPr>
          <w:rStyle w:val="InternetLink"/>
        </w:rPr>
        <w:t>6. </w:t>
      </w:r>
      <w:r>
        <w:rPr>
          <w:rStyle w:val="InternetLink"/>
        </w:rPr>
        <w:fldChar w:fldCharType="end"/>
      </w:r>
      <w:r>
        <w:rPr/>
        <w:t xml:space="preserve">Edward Slingerland, </w:t>
      </w:r>
      <w:r>
        <w:rPr>
          <w:i/>
          <w:iCs/>
        </w:rPr>
        <w:t>Effortless Action: Wu-wei as Conceptual Metaphor and Spiritual Ideal in Early China</w:t>
      </w:r>
      <w:r>
        <w:rPr/>
        <w:t xml:space="preserve"> (New York: Oxford University Press, 2003), p. 272.</w:t>
      </w:r>
    </w:p>
    <w:p>
      <w:pPr>
        <w:pStyle w:val="NormalWeb"/>
        <w:rPr/>
      </w:pPr>
      <w:r>
        <w:fldChar w:fldCharType="begin"/>
      </w:r>
      <w:r>
        <w:rPr>
          <w:rStyle w:val="InternetLink"/>
        </w:rPr>
        <w:instrText> HYPERLINK "http://muse.jhu.edu.libproxy.mit.edu/journals/philosophy_east_and_west/v058/58.3.cline.html" \l "f7-text"</w:instrText>
      </w:r>
      <w:r>
        <w:rPr>
          <w:rStyle w:val="InternetLink"/>
        </w:rPr>
        <w:fldChar w:fldCharType="separate"/>
      </w:r>
      <w:r>
        <w:rPr>
          <w:rStyle w:val="InternetLink"/>
        </w:rPr>
        <w:t>7. </w:t>
      </w:r>
      <w:r>
        <w:rPr>
          <w:rStyle w:val="InternetLink"/>
        </w:rPr>
        <w:fldChar w:fldCharType="end"/>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p>
      <w:pPr>
        <w:pStyle w:val="NormalWeb"/>
        <w:rPr/>
      </w:pPr>
      <w:r>
        <w:fldChar w:fldCharType="begin"/>
      </w:r>
      <w:r>
        <w:rPr>
          <w:rStyle w:val="InternetLink"/>
        </w:rPr>
        <w:instrText> HYPERLINK "http://muse.jhu.edu.libproxy.mit.edu/journals/philosophy_east_and_west/v058/58.3.cline.html" \l "f8-text"</w:instrText>
      </w:r>
      <w:r>
        <w:rPr>
          <w:rStyle w:val="InternetLink"/>
        </w:rPr>
        <w:fldChar w:fldCharType="separate"/>
      </w:r>
      <w:r>
        <w:rPr>
          <w:rStyle w:val="InternetLink"/>
        </w:rPr>
        <w:t>8. </w:t>
      </w:r>
      <w:r>
        <w:rPr>
          <w:rStyle w:val="InternetLink"/>
        </w:rPr>
        <w:fldChar w:fldCharType="end"/>
      </w:r>
      <w:r>
        <w:rPr/>
        <w:t xml:space="preserve">Carr and Ivanhoe, </w:t>
      </w:r>
      <w:r>
        <w:rPr>
          <w:i/>
          <w:iCs/>
        </w:rPr>
        <w:t>The Sense of Antirationalism</w:t>
      </w:r>
      <w:r>
        <w:rPr/>
        <w:t>, p. 38.</w:t>
      </w:r>
    </w:p>
    <w:p>
      <w:pPr>
        <w:pStyle w:val="NormalWeb"/>
        <w:rPr/>
      </w:pPr>
      <w:r>
        <w:fldChar w:fldCharType="begin"/>
      </w:r>
      <w:r>
        <w:rPr>
          <w:rStyle w:val="InternetLink"/>
        </w:rPr>
        <w:instrText> HYPERLINK "http://muse.jhu.edu.libproxy.mit.edu/journals/philosophy_east_and_west/v058/58.3.cline.html" \l "f9-text"</w:instrText>
      </w:r>
      <w:r>
        <w:rPr>
          <w:rStyle w:val="InternetLink"/>
        </w:rPr>
        <w:fldChar w:fldCharType="separate"/>
      </w:r>
      <w:r>
        <w:rPr>
          <w:rStyle w:val="InternetLink"/>
        </w:rPr>
        <w:t>9. </w:t>
      </w:r>
      <w:r>
        <w:rPr>
          <w:rStyle w:val="InternetLink"/>
        </w:rPr>
        <w:fldChar w:fldCharType="end"/>
      </w:r>
      <w:r>
        <w:rPr/>
        <w:t>Oshima, "A Metaphorical Analysis of the Concept of Mind in Chuang-Tzu," p. 75. With the exception of terms appearing in titles, for consistency I have converted all Wade-Giles romanizations to pinyin in this essay.</w:t>
      </w:r>
    </w:p>
    <w:p>
      <w:pPr>
        <w:pStyle w:val="NormalWeb"/>
        <w:rPr/>
      </w:pPr>
      <w:r>
        <w:fldChar w:fldCharType="begin"/>
      </w:r>
      <w:r>
        <w:rPr>
          <w:rStyle w:val="InternetLink"/>
        </w:rPr>
        <w:instrText> HYPERLINK "http://muse.jhu.edu.libproxy.mit.edu/journals/philosophy_east_and_west/v058/58.3.cline.html" \l "f10-text"</w:instrText>
      </w:r>
      <w:r>
        <w:rPr>
          <w:rStyle w:val="InternetLink"/>
        </w:rPr>
        <w:fldChar w:fldCharType="separate"/>
      </w:r>
      <w:r>
        <w:rPr>
          <w:rStyle w:val="InternetLink"/>
        </w:rPr>
        <w:t>10. </w:t>
      </w:r>
      <w:r>
        <w:rPr>
          <w:rStyle w:val="InternetLink"/>
        </w:rPr>
        <w:fldChar w:fldCharType="end"/>
      </w:r>
      <w:r>
        <w:rPr/>
        <w:t xml:space="preserve">Adapted from Watson, </w:t>
      </w:r>
      <w:r>
        <w:rPr>
          <w:i/>
          <w:iCs/>
        </w:rPr>
        <w:t>Chuang Tzu</w:t>
      </w:r>
      <w:r>
        <w:rPr/>
        <w:t>, p. 69 (chap. 5).</w:t>
      </w:r>
    </w:p>
    <w:p>
      <w:pPr>
        <w:pStyle w:val="NormalWeb"/>
        <w:rPr/>
      </w:pPr>
      <w:r>
        <w:fldChar w:fldCharType="begin"/>
      </w:r>
      <w:r>
        <w:rPr>
          <w:rStyle w:val="InternetLink"/>
        </w:rPr>
        <w:instrText> HYPERLINK "http://muse.jhu.edu.libproxy.mit.edu/journals/philosophy_east_and_west/v058/58.3.cline.html" \l "f11-text"</w:instrText>
      </w:r>
      <w:r>
        <w:rPr>
          <w:rStyle w:val="InternetLink"/>
        </w:rPr>
        <w:fldChar w:fldCharType="separate"/>
      </w:r>
      <w:r>
        <w:rPr>
          <w:rStyle w:val="InternetLink"/>
        </w:rPr>
        <w:t>11. </w:t>
      </w:r>
      <w:r>
        <w:rPr>
          <w:rStyle w:val="InternetLink"/>
        </w:rPr>
        <w:fldChar w:fldCharType="end"/>
      </w:r>
      <w:r>
        <w:rPr/>
        <w:t>Ibid., p. 97 (chap. 7).</w:t>
      </w:r>
    </w:p>
    <w:p>
      <w:pPr>
        <w:pStyle w:val="NormalWeb"/>
        <w:rPr/>
      </w:pPr>
      <w:r>
        <w:fldChar w:fldCharType="begin"/>
      </w:r>
      <w:r>
        <w:rPr>
          <w:rStyle w:val="InternetLink"/>
        </w:rPr>
        <w:instrText> HYPERLINK "http://muse.jhu.edu.libproxy.mit.edu/journals/philosophy_east_and_west/v058/58.3.cline.html" \l "f12-text"</w:instrText>
      </w:r>
      <w:r>
        <w:rPr>
          <w:rStyle w:val="InternetLink"/>
        </w:rPr>
        <w:fldChar w:fldCharType="separate"/>
      </w:r>
      <w:r>
        <w:rPr>
          <w:rStyle w:val="InternetLink"/>
        </w:rPr>
        <w:t>12. </w:t>
      </w:r>
      <w:r>
        <w:rPr>
          <w:rStyle w:val="InternetLink"/>
        </w:rPr>
        <w:fldChar w:fldCharType="end"/>
      </w:r>
      <w:r>
        <w:rPr/>
        <w:t>Ibid., p. 142 (chap. 13).</w:t>
      </w:r>
    </w:p>
    <w:p>
      <w:pPr>
        <w:pStyle w:val="NormalWeb"/>
        <w:rPr/>
      </w:pPr>
      <w:r>
        <w:fldChar w:fldCharType="begin"/>
      </w:r>
      <w:r>
        <w:rPr>
          <w:rStyle w:val="InternetLink"/>
        </w:rPr>
        <w:instrText> HYPERLINK "http://muse.jhu.edu.libproxy.mit.edu/journals/philosophy_east_and_west/v058/58.3.cline.html" \l "f13-text"</w:instrText>
      </w:r>
      <w:r>
        <w:rPr>
          <w:rStyle w:val="InternetLink"/>
        </w:rPr>
        <w:fldChar w:fldCharType="separate"/>
      </w:r>
      <w:r>
        <w:rPr>
          <w:rStyle w:val="InternetLink"/>
        </w:rPr>
        <w:t>13. </w:t>
      </w:r>
      <w:r>
        <w:rPr>
          <w:rStyle w:val="InternetLink"/>
        </w:rPr>
        <w:fldChar w:fldCharType="end"/>
      </w:r>
      <w:r>
        <w:rPr/>
        <w:t>Adapted from ibid., p. 97 (chap. 7).</w:t>
      </w:r>
    </w:p>
    <w:p>
      <w:pPr>
        <w:pStyle w:val="NormalWeb"/>
        <w:rPr/>
      </w:pPr>
      <w:r>
        <w:fldChar w:fldCharType="begin"/>
      </w:r>
      <w:r>
        <w:rPr>
          <w:rStyle w:val="InternetLink"/>
        </w:rPr>
        <w:instrText> HYPERLINK "http://muse.jhu.edu.libproxy.mit.edu/journals/philosophy_east_and_west/v058/58.3.cline.html" \l "f14-text"</w:instrText>
      </w:r>
      <w:r>
        <w:rPr>
          <w:rStyle w:val="InternetLink"/>
        </w:rPr>
        <w:fldChar w:fldCharType="separate"/>
      </w:r>
      <w:r>
        <w:rPr>
          <w:rStyle w:val="InternetLink"/>
        </w:rPr>
        <w:t>14. </w:t>
      </w:r>
      <w:r>
        <w:rPr>
          <w:rStyle w:val="InternetLink"/>
        </w:rPr>
        <w:fldChar w:fldCharType="end"/>
      </w:r>
      <w:r>
        <w:rPr/>
        <w:t>Ibid., p. 38 (chap. 2).</w:t>
      </w:r>
    </w:p>
    <w:p>
      <w:pPr>
        <w:pStyle w:val="NormalWeb"/>
        <w:rPr/>
      </w:pPr>
      <w:r>
        <w:fldChar w:fldCharType="begin"/>
      </w:r>
      <w:r>
        <w:rPr>
          <w:rStyle w:val="InternetLink"/>
        </w:rPr>
        <w:instrText> HYPERLINK "http://muse.jhu.edu.libproxy.mit.edu/journals/philosophy_east_and_west/v058/58.3.cline.html" \l "f15-text"</w:instrText>
      </w:r>
      <w:r>
        <w:rPr>
          <w:rStyle w:val="InternetLink"/>
        </w:rPr>
        <w:fldChar w:fldCharType="separate"/>
      </w:r>
      <w:r>
        <w:rPr>
          <w:rStyle w:val="InternetLink"/>
        </w:rPr>
        <w:t>15. </w:t>
      </w:r>
      <w:r>
        <w:rPr>
          <w:rStyle w:val="InternetLink"/>
        </w:rPr>
        <w:fldChar w:fldCharType="end"/>
      </w:r>
      <w:r>
        <w:rPr/>
        <w:t>Ibid., p. 40 (chap. 2).</w:t>
      </w:r>
    </w:p>
    <w:p>
      <w:pPr>
        <w:pStyle w:val="NormalWeb"/>
        <w:rPr/>
      </w:pPr>
      <w:r>
        <w:fldChar w:fldCharType="begin"/>
      </w:r>
      <w:r>
        <w:rPr>
          <w:rStyle w:val="InternetLink"/>
        </w:rPr>
        <w:instrText> HYPERLINK "http://muse.jhu.edu.libproxy.mit.edu/journals/philosophy_east_and_west/v058/58.3.cline.html" \l "f16-text"</w:instrText>
      </w:r>
      <w:r>
        <w:rPr>
          <w:rStyle w:val="InternetLink"/>
        </w:rPr>
        <w:fldChar w:fldCharType="separate"/>
      </w:r>
      <w:r>
        <w:rPr>
          <w:rStyle w:val="InternetLink"/>
        </w:rPr>
        <w:t>16. </w:t>
      </w:r>
      <w:r>
        <w:rPr>
          <w:rStyle w:val="InternetLink"/>
        </w:rPr>
        <w:fldChar w:fldCharType="end"/>
      </w:r>
      <w:r>
        <w:rPr/>
        <w:t>As Julius Tsai has pointed out, mirrors were thought to "provide better and truer insight into the nature of things, people, and spirits, revealing what was hidden to the naked eye" (Tsai, "The Mirror Metaphor in the Zhuangzi," p. 5).</w:t>
      </w:r>
    </w:p>
    <w:p>
      <w:pPr>
        <w:pStyle w:val="NormalWeb"/>
        <w:rPr/>
      </w:pPr>
      <w:r>
        <w:fldChar w:fldCharType="begin"/>
      </w:r>
      <w:r>
        <w:rPr>
          <w:rStyle w:val="InternetLink"/>
        </w:rPr>
        <w:instrText> HYPERLINK "http://muse.jhu.edu.libproxy.mit.edu/journals/philosophy_east_and_west/v058/58.3.cline.html" \l "f17-text"</w:instrText>
      </w:r>
      <w:r>
        <w:rPr>
          <w:rStyle w:val="InternetLink"/>
        </w:rPr>
        <w:fldChar w:fldCharType="separate"/>
      </w:r>
      <w:r>
        <w:rPr>
          <w:rStyle w:val="InternetLink"/>
        </w:rPr>
        <w:t>17. </w:t>
      </w:r>
      <w:r>
        <w:rPr>
          <w:rStyle w:val="InternetLink"/>
        </w:rPr>
        <w:fldChar w:fldCharType="end"/>
      </w:r>
      <w:r>
        <w:rPr/>
        <w:t xml:space="preserve">Adapted from Watson, </w:t>
      </w:r>
      <w:r>
        <w:rPr>
          <w:i/>
          <w:iCs/>
        </w:rPr>
        <w:t>Chuang Tzu</w:t>
      </w:r>
      <w:r>
        <w:rPr/>
        <w:t xml:space="preserve">, p. 69 (chap. 5). </w:t>
      </w:r>
      <w:r>
        <w:rPr>
          <w:b/>
          <w:bCs/>
        </w:rPr>
        <w:t>[End Page 353]</w:t>
      </w:r>
      <w:r>
        <w:rPr/>
        <w:t xml:space="preserve"> </w:t>
      </w:r>
    </w:p>
    <w:p>
      <w:pPr>
        <w:pStyle w:val="NormalWeb"/>
        <w:rPr/>
      </w:pPr>
      <w:r>
        <w:fldChar w:fldCharType="begin"/>
      </w:r>
      <w:r>
        <w:rPr>
          <w:rStyle w:val="InternetLink"/>
        </w:rPr>
        <w:instrText> HYPERLINK "http://muse.jhu.edu.libproxy.mit.edu/journals/philosophy_east_and_west/v058/58.3.cline.html" \l "f18-text"</w:instrText>
      </w:r>
      <w:r>
        <w:rPr>
          <w:rStyle w:val="InternetLink"/>
        </w:rPr>
        <w:fldChar w:fldCharType="separate"/>
      </w:r>
      <w:r>
        <w:rPr>
          <w:rStyle w:val="InternetLink"/>
        </w:rPr>
        <w:t>18. </w:t>
      </w:r>
      <w:r>
        <w:rPr>
          <w:rStyle w:val="InternetLink"/>
        </w:rPr>
        <w:fldChar w:fldCharType="end"/>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p>
      <w:pPr>
        <w:pStyle w:val="NormalWeb"/>
        <w:rPr/>
      </w:pPr>
      <w:r>
        <w:fldChar w:fldCharType="begin"/>
      </w:r>
      <w:r>
        <w:rPr>
          <w:rStyle w:val="InternetLink"/>
        </w:rPr>
        <w:instrText> HYPERLINK "http://muse.jhu.edu.libproxy.mit.edu/journals/philosophy_east_and_west/v058/58.3.cline.html" \l "f19-text"</w:instrText>
      </w:r>
      <w:r>
        <w:rPr>
          <w:rStyle w:val="InternetLink"/>
        </w:rPr>
        <w:fldChar w:fldCharType="separate"/>
      </w:r>
      <w:r>
        <w:rPr>
          <w:rStyle w:val="InternetLink"/>
        </w:rPr>
        <w:t>19. </w:t>
      </w:r>
      <w:r>
        <w:rPr>
          <w:rStyle w:val="InternetLink"/>
        </w:rPr>
        <w:fldChar w:fldCharType="end"/>
      </w:r>
      <w:r>
        <w:rPr/>
        <w:t xml:space="preserve">Adapted from Watson, </w:t>
      </w:r>
      <w:r>
        <w:rPr>
          <w:i/>
          <w:iCs/>
        </w:rPr>
        <w:t>Chuang Tzu</w:t>
      </w:r>
      <w:r>
        <w:rPr/>
        <w:t>, p. 142 (chap. 13).</w:t>
      </w:r>
    </w:p>
    <w:p>
      <w:pPr>
        <w:pStyle w:val="NormalWeb"/>
        <w:rPr/>
      </w:pPr>
      <w:r>
        <w:fldChar w:fldCharType="begin"/>
      </w:r>
      <w:r>
        <w:rPr>
          <w:rStyle w:val="InternetLink"/>
        </w:rPr>
        <w:instrText> HYPERLINK "http://muse.jhu.edu.libproxy.mit.edu/journals/philosophy_east_and_west/v058/58.3.cline.html" \l "f20-text"</w:instrText>
      </w:r>
      <w:r>
        <w:rPr>
          <w:rStyle w:val="InternetLink"/>
        </w:rPr>
        <w:fldChar w:fldCharType="separate"/>
      </w:r>
      <w:r>
        <w:rPr>
          <w:rStyle w:val="InternetLink"/>
        </w:rPr>
        <w:t>20. </w:t>
      </w:r>
      <w:r>
        <w:rPr>
          <w:rStyle w:val="InternetLink"/>
        </w:rPr>
        <w:fldChar w:fldCharType="end"/>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p>
      <w:pPr>
        <w:pStyle w:val="NormalWeb"/>
        <w:rPr/>
      </w:pPr>
      <w:r>
        <w:fldChar w:fldCharType="begin"/>
      </w:r>
      <w:r>
        <w:rPr>
          <w:rStyle w:val="InternetLink"/>
        </w:rPr>
        <w:instrText> HYPERLINK "http://muse.jhu.edu.libproxy.mit.edu/journals/philosophy_east_and_west/v058/58.3.cline.html" \l "f21-text"</w:instrText>
      </w:r>
      <w:r>
        <w:rPr>
          <w:rStyle w:val="InternetLink"/>
        </w:rPr>
        <w:fldChar w:fldCharType="separate"/>
      </w:r>
      <w:r>
        <w:rPr>
          <w:rStyle w:val="InternetLink"/>
        </w:rPr>
        <w:t>21. </w:t>
      </w:r>
      <w:r>
        <w:rPr>
          <w:rStyle w:val="InternetLink"/>
        </w:rPr>
        <w:fldChar w:fldCharType="end"/>
      </w:r>
      <w:r>
        <w:rPr/>
        <w:t xml:space="preserve">It is also possible that Zhuangzi and Xunzi are drawing on a common literature, which is lost to us, but because of the similarity in imagery and what we know of the history of these texts, it is at least plausible to infer a direct borrowing. However, nothing in my analysis depends on this being true. In addition to Xunzi,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p>
      <w:pPr>
        <w:pStyle w:val="NormalWeb"/>
        <w:rPr/>
      </w:pPr>
      <w:r>
        <w:fldChar w:fldCharType="begin"/>
      </w:r>
      <w:r>
        <w:rPr>
          <w:rStyle w:val="InternetLink"/>
        </w:rPr>
        <w:instrText> HYPERLINK "http://muse.jhu.edu.libproxy.mit.edu/journals/philosophy_east_and_west/v058/58.3.cline.html" \l "f22-text"</w:instrText>
      </w:r>
      <w:r>
        <w:rPr>
          <w:rStyle w:val="InternetLink"/>
        </w:rPr>
        <w:fldChar w:fldCharType="separate"/>
      </w:r>
      <w:r>
        <w:rPr>
          <w:rStyle w:val="InternetLink"/>
        </w:rPr>
        <w:t>22. </w:t>
      </w:r>
      <w:r>
        <w:rPr>
          <w:rStyle w:val="InternetLink"/>
        </w:rPr>
        <w:fldChar w:fldCharType="end"/>
      </w:r>
      <w:r>
        <w:rPr/>
        <w:t xml:space="preserve">Adapted from Knoblock, </w:t>
      </w:r>
      <w:r>
        <w:rPr>
          <w:i/>
          <w:iCs/>
        </w:rPr>
        <w:t>Xunzi</w:t>
      </w:r>
      <w:r>
        <w:rPr/>
        <w:t>, 3 : 107 (</w:t>
      </w:r>
      <w:r>
        <w:rPr>
          <w:i/>
          <w:iCs/>
        </w:rPr>
        <w:t>Xunzi</w:t>
      </w:r>
      <w:r>
        <w:rPr/>
        <w:t xml:space="preserve"> 21.7a); my emphasis.</w:t>
      </w:r>
    </w:p>
    <w:p>
      <w:pPr>
        <w:pStyle w:val="NormalWeb"/>
        <w:rPr/>
      </w:pPr>
      <w:r>
        <w:fldChar w:fldCharType="begin"/>
      </w:r>
      <w:r>
        <w:rPr>
          <w:rStyle w:val="InternetLink"/>
        </w:rPr>
        <w:instrText> HYPERLINK "http://muse.jhu.edu.libproxy.mit.edu/journals/philosophy_east_and_west/v058/58.3.cline.html" \l "f23-text"</w:instrText>
      </w:r>
      <w:r>
        <w:rPr>
          <w:rStyle w:val="InternetLink"/>
        </w:rPr>
        <w:fldChar w:fldCharType="separate"/>
      </w:r>
      <w:r>
        <w:rPr>
          <w:rStyle w:val="InternetLink"/>
        </w:rPr>
        <w:t>23. </w:t>
      </w:r>
      <w:r>
        <w:rPr>
          <w:rStyle w:val="InternetLink"/>
        </w:rPr>
        <w:fldChar w:fldCharType="end"/>
      </w:r>
      <w:r>
        <w:rPr/>
        <w:t xml:space="preserve">Knoblock, </w:t>
      </w:r>
      <w:r>
        <w:rPr>
          <w:i/>
          <w:iCs/>
        </w:rPr>
        <w:t>Xunzi</w:t>
      </w:r>
      <w:r>
        <w:rPr/>
        <w:t>, 3 : 107</w:t>
      </w:r>
    </w:p>
    <w:p>
      <w:pPr>
        <w:pStyle w:val="NormalWeb"/>
        <w:rPr/>
      </w:pPr>
      <w:r>
        <w:fldChar w:fldCharType="begin"/>
      </w:r>
      <w:r>
        <w:rPr>
          <w:rStyle w:val="InternetLink"/>
        </w:rPr>
        <w:instrText> HYPERLINK "http://muse.jhu.edu.libproxy.mit.edu/journals/philosophy_east_and_west/v058/58.3.cline.html" \l "f24-text"</w:instrText>
      </w:r>
      <w:r>
        <w:rPr>
          <w:rStyle w:val="InternetLink"/>
        </w:rPr>
        <w:fldChar w:fldCharType="separate"/>
      </w:r>
      <w:r>
        <w:rPr>
          <w:rStyle w:val="InternetLink"/>
        </w:rPr>
        <w:t>24. </w:t>
      </w:r>
      <w:r>
        <w:rPr>
          <w:rStyle w:val="InternetLink"/>
        </w:rPr>
        <w:fldChar w:fldCharType="end"/>
      </w:r>
      <w:r>
        <w:rPr/>
        <w:t xml:space="preserve">Knoblock, </w:t>
      </w:r>
      <w:r>
        <w:rPr>
          <w:i/>
          <w:iCs/>
        </w:rPr>
        <w:t>Xunzi</w:t>
      </w:r>
      <w:r>
        <w:rPr/>
        <w:t>, 3 : 107</w:t>
      </w:r>
    </w:p>
    <w:p>
      <w:pPr>
        <w:pStyle w:val="NormalWeb"/>
        <w:rPr/>
      </w:pPr>
      <w:r>
        <w:fldChar w:fldCharType="begin"/>
      </w:r>
      <w:r>
        <w:rPr>
          <w:rStyle w:val="InternetLink"/>
        </w:rPr>
        <w:instrText> HYPERLINK "http://muse.jhu.edu.libproxy.mit.edu/journals/philosophy_east_and_west/v058/58.3.cline.html" \l "f25-text"</w:instrText>
      </w:r>
      <w:r>
        <w:rPr>
          <w:rStyle w:val="InternetLink"/>
        </w:rPr>
        <w:fldChar w:fldCharType="separate"/>
      </w:r>
      <w:r>
        <w:rPr>
          <w:rStyle w:val="InternetLink"/>
        </w:rPr>
        <w:t>25. </w:t>
      </w:r>
      <w:r>
        <w:rPr>
          <w:rStyle w:val="InternetLink"/>
        </w:rPr>
        <w:fldChar w:fldCharType="end"/>
      </w:r>
      <w:r>
        <w:rPr/>
        <w:t xml:space="preserve">T. C. Kline III has made the helpful distinction between "outside-in" approaches to self-cultivation, such as Xunzi's,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Xunzi," in T. C. Kline III and Philip J. Ivanhoe, eds., </w:t>
      </w:r>
      <w:r>
        <w:rPr>
          <w:i/>
          <w:iCs/>
        </w:rPr>
        <w:t>Virtue, Nature, and Moral Agency in the</w:t>
      </w:r>
      <w:r>
        <w:rPr/>
        <w:t xml:space="preserve"> Xunzi (Indianapolis: Hackett, 2000), pp. 155–175.</w:t>
      </w:r>
    </w:p>
    <w:p>
      <w:pPr>
        <w:pStyle w:val="NormalWeb"/>
        <w:rPr/>
      </w:pPr>
      <w:r>
        <w:fldChar w:fldCharType="begin"/>
      </w:r>
      <w:r>
        <w:rPr>
          <w:rStyle w:val="InternetLink"/>
        </w:rPr>
        <w:instrText> HYPERLINK "http://muse.jhu.edu.libproxy.mit.edu/journals/philosophy_east_and_west/v058/58.3.cline.html" \l "f26-text"</w:instrText>
      </w:r>
      <w:r>
        <w:rPr>
          <w:rStyle w:val="InternetLink"/>
        </w:rPr>
        <w:fldChar w:fldCharType="separate"/>
      </w:r>
      <w:r>
        <w:rPr>
          <w:rStyle w:val="InternetLink"/>
        </w:rPr>
        <w:t>26. </w:t>
      </w:r>
      <w:r>
        <w:rPr>
          <w:rStyle w:val="InternetLink"/>
        </w:rPr>
        <w:fldChar w:fldCharType="end"/>
      </w:r>
      <w:r>
        <w:rPr/>
        <w:t xml:space="preserve">For example, Xunzi writes: </w:t>
      </w:r>
    </w:p>
    <w:p>
      <w:pPr>
        <w:pStyle w:val="NormalWeb"/>
        <w:ind w:start="720" w:end="720" w:hanging="0"/>
        <w:rPr/>
      </w:pPr>
      <w:r>
        <w:rPr/>
        <w:t xml:space="preserve">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w:t>
      </w:r>
      <w:r>
        <w:rPr>
          <w:b/>
          <w:bCs/>
        </w:rPr>
        <w:t>[End Page 354]</w:t>
      </w:r>
      <w:r>
        <w:rPr/>
        <w:t xml:space="preserve"> that has been put to the whetstone will be sharp. In broadening his learning, the </w:t>
      </w:r>
      <w:r>
        <w:rPr>
          <w:i/>
          <w:iCs/>
        </w:rPr>
        <w:t>junzi</w:t>
      </w:r>
      <w:r>
        <w:rPr/>
        <w:t xml:space="preserve"> each day examines himself so that his awareness will be discerning and his actions without excess.</w:t>
      </w:r>
    </w:p>
    <w:p>
      <w:pPr>
        <w:pStyle w:val="Normal"/>
        <w:spacing w:before="280" w:after="280"/>
        <w:ind w:start="720" w:end="720" w:hanging="0"/>
        <w:rPr/>
      </w:pPr>
      <w:r>
        <w:rPr/>
        <w:t>(Adapted from Knoblock, Xunzi, 1 : 135 [Xunzi 1.1])</w:t>
      </w:r>
    </w:p>
    <w:p>
      <w:pPr>
        <w:pStyle w:val="NormalWeb"/>
        <w:rPr/>
      </w:pPr>
      <w:r>
        <w:fldChar w:fldCharType="begin"/>
      </w:r>
      <w:r>
        <w:rPr>
          <w:rStyle w:val="InternetLink"/>
        </w:rPr>
        <w:instrText> HYPERLINK "http://muse.jhu.edu.libproxy.mit.edu/journals/philosophy_east_and_west/v058/58.3.cline.html" \l "f27-text"</w:instrText>
      </w:r>
      <w:r>
        <w:rPr>
          <w:rStyle w:val="InternetLink"/>
        </w:rPr>
        <w:fldChar w:fldCharType="separate"/>
      </w:r>
      <w:r>
        <w:rPr>
          <w:rStyle w:val="InternetLink"/>
        </w:rPr>
        <w:t>27. </w:t>
      </w:r>
      <w:r>
        <w:rPr>
          <w:rStyle w:val="InternetLink"/>
        </w:rPr>
        <w:fldChar w:fldCharType="end"/>
      </w:r>
      <w:r>
        <w:rPr/>
        <w:t xml:space="preserve">Knoblock, </w:t>
      </w:r>
      <w:r>
        <w:rPr>
          <w:i/>
          <w:iCs/>
        </w:rPr>
        <w:t>Xunzi</w:t>
      </w:r>
      <w:r>
        <w:rPr/>
        <w:t>, 3 : 107 (</w:t>
      </w:r>
      <w:r>
        <w:rPr>
          <w:i/>
          <w:iCs/>
        </w:rPr>
        <w:t>Xunzi</w:t>
      </w:r>
      <w:r>
        <w:rPr/>
        <w:t xml:space="preserve"> 21.7b).</w:t>
      </w:r>
    </w:p>
    <w:p>
      <w:pPr>
        <w:pStyle w:val="NormalWeb"/>
        <w:rPr/>
      </w:pPr>
      <w:r>
        <w:fldChar w:fldCharType="begin"/>
      </w:r>
      <w:r>
        <w:rPr>
          <w:rStyle w:val="InternetLink"/>
        </w:rPr>
        <w:instrText> HYPERLINK "http://muse.jhu.edu.libproxy.mit.edu/journals/philosophy_east_and_west/v058/58.3.cline.html" \l "f28-text"</w:instrText>
      </w:r>
      <w:r>
        <w:rPr>
          <w:rStyle w:val="InternetLink"/>
        </w:rPr>
        <w:fldChar w:fldCharType="separate"/>
      </w:r>
      <w:r>
        <w:rPr>
          <w:rStyle w:val="InternetLink"/>
        </w:rPr>
        <w:t>28. </w:t>
      </w:r>
      <w:r>
        <w:rPr>
          <w:rStyle w:val="InternetLink"/>
        </w:rPr>
        <w:fldChar w:fldCharType="end"/>
      </w:r>
      <w:r>
        <w:rPr/>
        <w:t xml:space="preserve">David S. Nivison, "Xunzi and Zhuangzi," in Kline and Ivanhoe, </w:t>
      </w:r>
      <w:r>
        <w:rPr>
          <w:i/>
          <w:iCs/>
        </w:rPr>
        <w:t>Virtue, Nature, and Moral Agency in</w:t>
      </w:r>
      <w:r>
        <w:rPr/>
        <w:t xml:space="preserve"> the Xunzi, p. 181.</w:t>
      </w:r>
    </w:p>
    <w:p>
      <w:pPr>
        <w:pStyle w:val="NormalWeb"/>
        <w:rPr/>
      </w:pPr>
      <w:r>
        <w:fldChar w:fldCharType="begin"/>
      </w:r>
      <w:r>
        <w:rPr>
          <w:rStyle w:val="InternetLink"/>
        </w:rPr>
        <w:instrText> HYPERLINK "http://muse.jhu.edu.libproxy.mit.edu/journals/philosophy_east_and_west/v058/58.3.cline.html" \l "f29-text"</w:instrText>
      </w:r>
      <w:r>
        <w:rPr>
          <w:rStyle w:val="InternetLink"/>
        </w:rPr>
        <w:fldChar w:fldCharType="separate"/>
      </w:r>
      <w:r>
        <w:rPr>
          <w:rStyle w:val="InternetLink"/>
        </w:rPr>
        <w:t>29. </w:t>
      </w:r>
      <w:r>
        <w:rPr>
          <w:rStyle w:val="InternetLink"/>
        </w:rPr>
        <w:fldChar w:fldCharType="end"/>
      </w:r>
      <w:r>
        <w:rPr/>
        <w:t xml:space="preserve">David S. Nivison, "Xunzi and Zhuangzi," in Kline and Ivanhoe, </w:t>
      </w:r>
      <w:r>
        <w:rPr>
          <w:i/>
          <w:iCs/>
        </w:rPr>
        <w:t>Virtue, Nature, and Moral Agency in</w:t>
      </w:r>
      <w:r>
        <w:rPr/>
        <w:t xml:space="preserve"> the Xunzi, p. 181.</w:t>
      </w:r>
    </w:p>
    <w:p>
      <w:pPr>
        <w:pStyle w:val="NormalWeb"/>
        <w:rPr/>
      </w:pPr>
      <w:r>
        <w:fldChar w:fldCharType="begin"/>
      </w:r>
      <w:r>
        <w:rPr>
          <w:rStyle w:val="InternetLink"/>
        </w:rPr>
        <w:instrText> HYPERLINK "http://muse.jhu.edu.libproxy.mit.edu/journals/philosophy_east_and_west/v058/58.3.cline.html" \l "f30-text"</w:instrText>
      </w:r>
      <w:r>
        <w:rPr>
          <w:rStyle w:val="InternetLink"/>
        </w:rPr>
        <w:fldChar w:fldCharType="separate"/>
      </w:r>
      <w:r>
        <w:rPr>
          <w:rStyle w:val="InternetLink"/>
          <w:lang w:val="it-IT"/>
        </w:rPr>
        <w:t>30. </w:t>
      </w:r>
      <w:r>
        <w:rPr>
          <w:rStyle w:val="InternetLink"/>
        </w:rPr>
        <w:fldChar w:fldCharType="end"/>
      </w:r>
      <w:r>
        <w:rPr>
          <w:lang w:val="it-IT"/>
        </w:rPr>
        <w:t xml:space="preserve">Knoblock, </w:t>
      </w:r>
      <w:r>
        <w:rPr>
          <w:i/>
          <w:iCs/>
          <w:lang w:val="it-IT"/>
        </w:rPr>
        <w:t>Xunzi</w:t>
      </w:r>
      <w:r>
        <w:rPr>
          <w:lang w:val="it-IT"/>
        </w:rPr>
        <w:t>, 3 : 108 (</w:t>
      </w:r>
      <w:r>
        <w:rPr>
          <w:i/>
          <w:iCs/>
          <w:lang w:val="it-IT"/>
        </w:rPr>
        <w:t>Xunzi</w:t>
      </w:r>
      <w:r>
        <w:rPr>
          <w:lang w:val="it-IT"/>
        </w:rPr>
        <w:t xml:space="preserve"> 21.7d).</w:t>
      </w:r>
    </w:p>
    <w:p>
      <w:pPr>
        <w:pStyle w:val="NormalWeb"/>
        <w:rPr/>
      </w:pPr>
      <w:r>
        <w:fldChar w:fldCharType="begin"/>
      </w:r>
      <w:r>
        <w:rPr>
          <w:rStyle w:val="InternetLink"/>
        </w:rPr>
        <w:instrText> HYPERLINK "http://muse.jhu.edu.libproxy.mit.edu/journals/philosophy_east_and_west/v058/58.3.cline.html" \l "f31-text"</w:instrText>
      </w:r>
      <w:r>
        <w:rPr>
          <w:rStyle w:val="InternetLink"/>
        </w:rPr>
        <w:fldChar w:fldCharType="separate"/>
      </w:r>
      <w:r>
        <w:rPr>
          <w:rStyle w:val="InternetLink"/>
        </w:rPr>
        <w:t>31. </w:t>
      </w:r>
      <w:r>
        <w:rPr>
          <w:rStyle w:val="InternetLink"/>
        </w:rPr>
        <w:fldChar w:fldCharType="end"/>
      </w:r>
      <w:r>
        <w:rPr/>
        <w:t>Ibid., p. 109 (</w:t>
      </w:r>
      <w:r>
        <w:rPr>
          <w:i/>
          <w:iCs/>
        </w:rPr>
        <w:t>Xunzi</w:t>
      </w:r>
      <w:r>
        <w:rPr/>
        <w:t xml:space="preserve"> 21.8).</w:t>
      </w:r>
    </w:p>
    <w:p>
      <w:pPr>
        <w:pStyle w:val="NormalWeb"/>
        <w:rPr/>
      </w:pPr>
      <w:r>
        <w:fldChar w:fldCharType="begin"/>
      </w:r>
      <w:r>
        <w:rPr>
          <w:rStyle w:val="InternetLink"/>
        </w:rPr>
        <w:instrText> HYPERLINK "http://muse.jhu.edu.libproxy.mit.edu/journals/philosophy_east_and_west/v058/58.3.cline.html" \l "f32-text"</w:instrText>
      </w:r>
      <w:r>
        <w:rPr>
          <w:rStyle w:val="InternetLink"/>
        </w:rPr>
        <w:fldChar w:fldCharType="separate"/>
      </w:r>
      <w:r>
        <w:rPr>
          <w:rStyle w:val="InternetLink"/>
        </w:rPr>
        <w:t>32. </w:t>
      </w:r>
      <w:r>
        <w:rPr>
          <w:rStyle w:val="InternetLink"/>
        </w:rPr>
        <w:fldChar w:fldCharType="end"/>
      </w:r>
      <w:r>
        <w:rPr/>
        <w:t>I do not intend to minimize the diversity that exists within the Chinese and Western traditions. Indeed, the four thinkers I have chosen to focus on in this essay illustrate well the diversity that exists within their respective traditions. Despite this diversity, however, there remain some shared cultural understandings of things. In this essay, I will focus on those features of the Chinese understanding of the heart-mind that are shared by Xunzi and Zhuangzi, as well as those features of the Western understanding of the heart and mind that are shared by Kierkegaard and Rorty in their discussions of the mirror metaphor. I also focus on the cultural understandings of mirrors that are apparent in their various discussions of the mirror metaphor.</w:t>
      </w:r>
    </w:p>
    <w:p>
      <w:pPr>
        <w:pStyle w:val="NormalWeb"/>
        <w:rPr/>
      </w:pPr>
      <w:r>
        <w:fldChar w:fldCharType="begin"/>
      </w:r>
      <w:r>
        <w:rPr>
          <w:rStyle w:val="InternetLink"/>
        </w:rPr>
        <w:instrText> HYPERLINK "http://muse.jhu.edu.libproxy.mit.edu/journals/philosophy_east_and_west/v058/58.3.cline.html" \l "f33-text"</w:instrText>
      </w:r>
      <w:r>
        <w:rPr>
          <w:rStyle w:val="InternetLink"/>
        </w:rPr>
        <w:fldChar w:fldCharType="separate"/>
      </w:r>
      <w:r>
        <w:rPr>
          <w:rStyle w:val="InternetLink"/>
        </w:rPr>
        <w:t>33. </w:t>
      </w:r>
      <w:r>
        <w:rPr>
          <w:rStyle w:val="InternetLink"/>
        </w:rPr>
        <w:fldChar w:fldCharType="end"/>
      </w:r>
      <w:r>
        <w:rPr/>
        <w:t xml:space="preserve">Kierkegaard, </w:t>
      </w:r>
      <w:r>
        <w:rPr>
          <w:i/>
          <w:iCs/>
        </w:rPr>
        <w:t>Purity of Heart</w:t>
      </w:r>
      <w:r>
        <w:rPr/>
        <w:t>, p. 177.</w:t>
      </w:r>
    </w:p>
    <w:p>
      <w:pPr>
        <w:pStyle w:val="NormalWeb"/>
        <w:rPr/>
      </w:pPr>
      <w:r>
        <w:fldChar w:fldCharType="begin"/>
      </w:r>
      <w:r>
        <w:rPr>
          <w:rStyle w:val="InternetLink"/>
        </w:rPr>
        <w:instrText> HYPERLINK "http://muse.jhu.edu.libproxy.mit.edu/journals/philosophy_east_and_west/v058/58.3.cline.html" \l "f34-text"</w:instrText>
      </w:r>
      <w:r>
        <w:rPr>
          <w:rStyle w:val="InternetLink"/>
        </w:rPr>
        <w:fldChar w:fldCharType="separate"/>
      </w:r>
      <w:r>
        <w:rPr>
          <w:rStyle w:val="InternetLink"/>
        </w:rPr>
        <w:t>34. </w:t>
      </w:r>
      <w:r>
        <w:rPr>
          <w:rStyle w:val="InternetLink"/>
        </w:rPr>
        <w:fldChar w:fldCharType="end"/>
      </w:r>
      <w:r>
        <w:rPr/>
        <w:t xml:space="preserve">This is the general account Kierkegaard gives in </w:t>
      </w:r>
      <w:r>
        <w:rPr>
          <w:i/>
          <w:iCs/>
        </w:rPr>
        <w:t>Purity of Heart</w:t>
      </w:r>
      <w:r>
        <w:rPr/>
        <w:t xml:space="preserve"> and a number of other places as well. For a detailed study of these aspects of Kierkegaard's view, see C. Stephen Evans, </w:t>
      </w:r>
      <w:r>
        <w:rPr>
          <w:i/>
          <w:iCs/>
        </w:rPr>
        <w:t>Kierkegaard's Ethic of Love: Divine Commands and Moral Obligations</w:t>
      </w:r>
      <w:r>
        <w:rPr/>
        <w:t xml:space="preserve"> (New York: Oxford University Press, 2004). See also Jamie Ferreira, </w:t>
      </w:r>
      <w:r>
        <w:rPr>
          <w:i/>
          <w:iCs/>
        </w:rPr>
        <w:t>Love's Grateful Striving: A Commentary on Kierkegaard's Works of Love</w:t>
      </w:r>
      <w:r>
        <w:rPr/>
        <w:t xml:space="preserve"> (New York: Oxford University Press, 2001).</w:t>
      </w:r>
    </w:p>
    <w:p>
      <w:pPr>
        <w:pStyle w:val="NormalWeb"/>
        <w:rPr/>
      </w:pPr>
      <w:r>
        <w:fldChar w:fldCharType="begin"/>
      </w:r>
      <w:r>
        <w:rPr>
          <w:rStyle w:val="InternetLink"/>
        </w:rPr>
        <w:instrText> HYPERLINK "http://muse.jhu.edu.libproxy.mit.edu/journals/philosophy_east_and_west/v058/58.3.cline.html" \l "f35-text"</w:instrText>
      </w:r>
      <w:r>
        <w:rPr>
          <w:rStyle w:val="InternetLink"/>
        </w:rPr>
        <w:fldChar w:fldCharType="separate"/>
      </w:r>
      <w:r>
        <w:rPr>
          <w:rStyle w:val="InternetLink"/>
        </w:rPr>
        <w:t>35. </w:t>
      </w:r>
      <w:r>
        <w:rPr>
          <w:rStyle w:val="InternetLink"/>
        </w:rPr>
        <w:fldChar w:fldCharType="end"/>
      </w:r>
      <w:r>
        <w:rPr/>
        <w:t xml:space="preserve">Kierkegaard, </w:t>
      </w:r>
      <w:r>
        <w:rPr>
          <w:i/>
          <w:iCs/>
        </w:rPr>
        <w:t>Purity of Heart</w:t>
      </w:r>
      <w:r>
        <w:rPr/>
        <w:t>, p. 55.</w:t>
      </w:r>
    </w:p>
    <w:p>
      <w:pPr>
        <w:pStyle w:val="NormalWeb"/>
        <w:rPr/>
      </w:pPr>
      <w:r>
        <w:fldChar w:fldCharType="begin"/>
      </w:r>
      <w:r>
        <w:rPr>
          <w:rStyle w:val="InternetLink"/>
        </w:rPr>
        <w:instrText> HYPERLINK "http://muse.jhu.edu.libproxy.mit.edu/journals/philosophy_east_and_west/v058/58.3.cline.html" \l "f36-text"</w:instrText>
      </w:r>
      <w:r>
        <w:rPr>
          <w:rStyle w:val="InternetLink"/>
        </w:rPr>
        <w:fldChar w:fldCharType="separate"/>
      </w:r>
      <w:r>
        <w:rPr>
          <w:rStyle w:val="InternetLink"/>
        </w:rPr>
        <w:t>36. </w:t>
      </w:r>
      <w:r>
        <w:rPr>
          <w:rStyle w:val="InternetLink"/>
        </w:rPr>
        <w:fldChar w:fldCharType="end"/>
      </w:r>
      <w:r>
        <w:rPr/>
        <w:t>Ibid., p. 56.</w:t>
      </w:r>
    </w:p>
    <w:p>
      <w:pPr>
        <w:pStyle w:val="NormalWeb"/>
        <w:rPr/>
      </w:pPr>
      <w:r>
        <w:fldChar w:fldCharType="begin"/>
      </w:r>
      <w:r>
        <w:rPr>
          <w:rStyle w:val="InternetLink"/>
        </w:rPr>
        <w:instrText> HYPERLINK "http://muse.jhu.edu.libproxy.mit.edu/journals/philosophy_east_and_west/v058/58.3.cline.html" \l "f37-text"</w:instrText>
      </w:r>
      <w:r>
        <w:rPr>
          <w:rStyle w:val="InternetLink"/>
        </w:rPr>
        <w:fldChar w:fldCharType="separate"/>
      </w:r>
      <w:r>
        <w:rPr>
          <w:rStyle w:val="InternetLink"/>
        </w:rPr>
        <w:t>37. </w:t>
      </w:r>
      <w:r>
        <w:rPr>
          <w:rStyle w:val="InternetLink"/>
        </w:rPr>
        <w:fldChar w:fldCharType="end"/>
      </w:r>
      <w:r>
        <w:rPr/>
        <w:t>Ibid., pp. 176–177.</w:t>
      </w:r>
    </w:p>
    <w:p>
      <w:pPr>
        <w:pStyle w:val="NormalWeb"/>
        <w:rPr/>
      </w:pPr>
      <w:r>
        <w:fldChar w:fldCharType="begin"/>
      </w:r>
      <w:r>
        <w:rPr>
          <w:rStyle w:val="InternetLink"/>
        </w:rPr>
        <w:instrText> HYPERLINK "http://muse.jhu.edu.libproxy.mit.edu/journals/philosophy_east_and_west/v058/58.3.cline.html" \l "f38-text"</w:instrText>
      </w:r>
      <w:r>
        <w:rPr>
          <w:rStyle w:val="InternetLink"/>
        </w:rPr>
        <w:fldChar w:fldCharType="separate"/>
      </w:r>
      <w:r>
        <w:rPr>
          <w:rStyle w:val="InternetLink"/>
        </w:rPr>
        <w:t>38. 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"f39-text"</w:instrText>
      </w:r>
      <w:r>
        <w:rPr>
          <w:rStyle w:val="InternetLink"/>
        </w:rPr>
        <w:fldChar w:fldCharType="separate"/>
      </w:r>
      <w:r>
        <w:rPr>
          <w:rStyle w:val="InternetLink"/>
        </w:rPr>
        <w:t>39. </w:t>
      </w:r>
      <w:r>
        <w:rPr>
          <w:rStyle w:val="InternetLink"/>
        </w:rPr>
        <w:fldChar w:fldCharType="end"/>
      </w:r>
      <w:r>
        <w:rPr/>
        <w:t xml:space="preserve">There is an interesting point of comparison with Zhuangzi here. Both Zhuangzi and Kierkegaard call for humans to surrender themselves, but for Zhuangzi this means surrendering our egoistic perspectives to the Way, which moves in each of us and throughout the world. For Kierkegaard, humans must surrender their wills to God in an acknowledgment of the need for God's transforming power. For a detailed comparison of these aspects of Zhuangzi's and Kierkegaard's thought, see Carr and Ivanhoe, </w:t>
      </w:r>
      <w:r>
        <w:rPr>
          <w:i/>
          <w:iCs/>
        </w:rPr>
        <w:t>The Sense of Antirationalism</w:t>
      </w:r>
      <w:r>
        <w:rPr/>
        <w:t>, pp. 58–89.</w:t>
      </w:r>
    </w:p>
    <w:p>
      <w:pPr>
        <w:pStyle w:val="NormalWeb"/>
        <w:rPr/>
      </w:pPr>
      <w:r>
        <w:fldChar w:fldCharType="begin"/>
      </w:r>
      <w:r>
        <w:rPr>
          <w:rStyle w:val="InternetLink"/>
        </w:rPr>
        <w:instrText> HYPERLINK "http://muse.jhu.edu.libproxy.mit.edu/journals/philosophy_east_and_west/v058/58.3.cline.html" \l "f40-text"</w:instrText>
      </w:r>
      <w:r>
        <w:rPr>
          <w:rStyle w:val="InternetLink"/>
        </w:rPr>
        <w:fldChar w:fldCharType="separate"/>
      </w:r>
      <w:r>
        <w:rPr>
          <w:rStyle w:val="InternetLink"/>
        </w:rPr>
        <w:t>40. </w:t>
      </w:r>
      <w:r>
        <w:rPr>
          <w:rStyle w:val="InternetLink"/>
        </w:rPr>
        <w:fldChar w:fldCharType="end"/>
      </w:r>
      <w:r>
        <w:rPr/>
        <w:t xml:space="preserve">Kierkegaard presents a distinctively Protestant and Lutheran view of grace here by emphasizing one's absolute dependence on God. </w:t>
      </w:r>
      <w:r>
        <w:rPr>
          <w:b/>
          <w:bCs/>
        </w:rPr>
        <w:t>[End Page 355]</w:t>
      </w:r>
      <w:r>
        <w:rPr/>
        <w:t xml:space="preserve"> </w:t>
      </w:r>
    </w:p>
    <w:p>
      <w:pPr>
        <w:pStyle w:val="NormalWeb"/>
        <w:rPr/>
      </w:pPr>
      <w:r>
        <w:fldChar w:fldCharType="begin"/>
      </w:r>
      <w:r>
        <w:rPr>
          <w:rStyle w:val="InternetLink"/>
        </w:rPr>
        <w:instrText> HYPERLINK "http://muse.jhu.edu.libproxy.mit.edu/journals/philosophy_east_and_west/v058/58.3.cline.html" \l "f41-text"</w:instrText>
      </w:r>
      <w:r>
        <w:rPr>
          <w:rStyle w:val="InternetLink"/>
        </w:rPr>
        <w:fldChar w:fldCharType="separate"/>
      </w:r>
      <w:r>
        <w:rPr>
          <w:rStyle w:val="InternetLink"/>
        </w:rPr>
        <w:t>41. </w:t>
      </w:r>
      <w:r>
        <w:rPr>
          <w:rStyle w:val="InternetLink"/>
        </w:rPr>
        <w:fldChar w:fldCharType="end"/>
      </w:r>
      <w:r>
        <w:rPr/>
        <w:t xml:space="preserve">Kierkegaard, </w:t>
      </w:r>
      <w:r>
        <w:rPr>
          <w:i/>
          <w:iCs/>
        </w:rPr>
        <w:t>Purity of Heart</w:t>
      </w:r>
      <w:r>
        <w:rPr/>
        <w:t>, p. 176.</w:t>
      </w:r>
    </w:p>
    <w:p>
      <w:pPr>
        <w:pStyle w:val="NormalWeb"/>
        <w:rPr/>
      </w:pPr>
      <w:r>
        <w:fldChar w:fldCharType="begin"/>
      </w:r>
      <w:r>
        <w:rPr>
          <w:rStyle w:val="InternetLink"/>
        </w:rPr>
        <w:instrText> HYPERLINK "http://muse.jhu.edu.libproxy.mit.edu/journals/philosophy_east_and_west/v058/58.3.cline.html" \l "f42-text"</w:instrText>
      </w:r>
      <w:r>
        <w:rPr>
          <w:rStyle w:val="InternetLink"/>
        </w:rPr>
        <w:fldChar w:fldCharType="separate"/>
      </w:r>
      <w:r>
        <w:rPr>
          <w:rStyle w:val="InternetLink"/>
        </w:rPr>
        <w:t>42. 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"f43-text"</w:instrText>
      </w:r>
      <w:r>
        <w:rPr>
          <w:rStyle w:val="InternetLink"/>
        </w:rPr>
        <w:fldChar w:fldCharType="separate"/>
      </w:r>
      <w:r>
        <w:rPr>
          <w:rStyle w:val="InternetLink"/>
        </w:rPr>
        <w:t>43. </w:t>
      </w:r>
      <w:r>
        <w:rPr>
          <w:rStyle w:val="InternetLink"/>
        </w:rPr>
        <w:fldChar w:fldCharType="end"/>
      </w:r>
      <w:r>
        <w:rPr/>
        <w:t>Ibid., p. 55.</w:t>
      </w:r>
    </w:p>
    <w:p>
      <w:pPr>
        <w:pStyle w:val="NormalWeb"/>
        <w:rPr/>
      </w:pPr>
      <w:r>
        <w:fldChar w:fldCharType="begin"/>
      </w:r>
      <w:r>
        <w:rPr>
          <w:rStyle w:val="InternetLink"/>
        </w:rPr>
        <w:instrText> HYPERLINK "http://muse.jhu.edu.libproxy.mit.edu/journals/philosophy_east_and_west/v058/58.3.cline.html" \l "f44-text"</w:instrText>
      </w:r>
      <w:r>
        <w:rPr>
          <w:rStyle w:val="InternetLink"/>
        </w:rPr>
        <w:fldChar w:fldCharType="separate"/>
      </w:r>
      <w:r>
        <w:rPr>
          <w:rStyle w:val="InternetLink"/>
        </w:rPr>
        <w:t>44. </w:t>
      </w:r>
      <w:r>
        <w:rPr>
          <w:rStyle w:val="InternetLink"/>
        </w:rPr>
        <w:fldChar w:fldCharType="end"/>
      </w:r>
      <w:r>
        <w:rPr/>
        <w:t>Ibid., p. 72. It is worth noting the similarity between Kierkegaard's view and Kant's view of our proper relationship to the moral law.</w:t>
      </w:r>
    </w:p>
    <w:p>
      <w:pPr>
        <w:pStyle w:val="NormalWeb"/>
        <w:rPr/>
      </w:pPr>
      <w:r>
        <w:fldChar w:fldCharType="begin"/>
      </w:r>
      <w:r>
        <w:rPr>
          <w:rStyle w:val="InternetLink"/>
        </w:rPr>
        <w:instrText> HYPERLINK "http://muse.jhu.edu.libproxy.mit.edu/journals/philosophy_east_and_west/v058/58.3.cline.html" \l "f45-text"</w:instrText>
      </w:r>
      <w:r>
        <w:rPr>
          <w:rStyle w:val="InternetLink"/>
        </w:rPr>
        <w:fldChar w:fldCharType="separate"/>
      </w:r>
      <w:r>
        <w:rPr>
          <w:rStyle w:val="InternetLink"/>
        </w:rPr>
        <w:t>45. </w:t>
      </w:r>
      <w:r>
        <w:rPr>
          <w:rStyle w:val="InternetLink"/>
        </w:rPr>
        <w:fldChar w:fldCharType="end"/>
      </w:r>
      <w:r>
        <w:rPr/>
        <w:t>Ibid., p. 93.</w:t>
      </w:r>
    </w:p>
    <w:p>
      <w:pPr>
        <w:pStyle w:val="NormalWeb"/>
        <w:rPr/>
      </w:pPr>
      <w:r>
        <w:fldChar w:fldCharType="begin"/>
      </w:r>
      <w:r>
        <w:rPr>
          <w:rStyle w:val="InternetLink"/>
        </w:rPr>
        <w:instrText> HYPERLINK "http://muse.jhu.edu.libproxy.mit.edu/journals/philosophy_east_and_west/v058/58.3.cline.html" \l "f46-text"</w:instrText>
      </w:r>
      <w:r>
        <w:rPr>
          <w:rStyle w:val="InternetLink"/>
        </w:rPr>
        <w:fldChar w:fldCharType="separate"/>
      </w:r>
      <w:r>
        <w:rPr>
          <w:rStyle w:val="InternetLink"/>
        </w:rPr>
        <w:t>46. </w:t>
      </w:r>
      <w:r>
        <w:rPr>
          <w:rStyle w:val="InternetLink"/>
        </w:rPr>
        <w:fldChar w:fldCharType="end"/>
      </w:r>
      <w:r>
        <w:rPr/>
        <w:t xml:space="preserve">Rorty, </w:t>
      </w:r>
      <w:r>
        <w:rPr>
          <w:i/>
          <w:iCs/>
        </w:rPr>
        <w:t>Philosophy and the Mirror of Nature</w:t>
      </w:r>
      <w:r>
        <w:rPr/>
        <w:t>, p. 12.</w:t>
      </w:r>
    </w:p>
    <w:p>
      <w:pPr>
        <w:pStyle w:val="NormalWeb"/>
        <w:rPr/>
      </w:pPr>
      <w:r>
        <w:fldChar w:fldCharType="begin"/>
      </w:r>
      <w:r>
        <w:rPr>
          <w:rStyle w:val="InternetLink"/>
        </w:rPr>
        <w:instrText> HYPERLINK "http://muse.jhu.edu.libproxy.mit.edu/journals/philosophy_east_and_west/v058/58.3.cline.html" \l "f47-text"</w:instrText>
      </w:r>
      <w:r>
        <w:rPr>
          <w:rStyle w:val="InternetLink"/>
        </w:rPr>
        <w:fldChar w:fldCharType="separate"/>
      </w:r>
      <w:r>
        <w:rPr>
          <w:rStyle w:val="InternetLink"/>
          <w:lang w:val="es-ES"/>
        </w:rPr>
        <w:t>47. </w:t>
      </w:r>
      <w:r>
        <w:rPr>
          <w:rStyle w:val="InternetLink"/>
        </w:rPr>
        <w:fldChar w:fldCharType="end"/>
      </w:r>
      <w:r>
        <w:rPr>
          <w:lang w:val="es-ES"/>
        </w:rPr>
        <w:t>Ibid., p. 60 n. 32.</w:t>
      </w:r>
    </w:p>
    <w:p>
      <w:pPr>
        <w:pStyle w:val="NormalWeb"/>
        <w:rPr/>
      </w:pPr>
      <w:r>
        <w:fldChar w:fldCharType="begin"/>
      </w:r>
      <w:r>
        <w:rPr>
          <w:rStyle w:val="InternetLink"/>
        </w:rPr>
        <w:instrText> HYPERLINK "http://muse.jhu.edu.libproxy.mit.edu/journals/philosophy_east_and_west/v058/58.3.cline.html" \l "f48-text"</w:instrText>
      </w:r>
      <w:r>
        <w:rPr>
          <w:rStyle w:val="InternetLink"/>
        </w:rPr>
        <w:fldChar w:fldCharType="separate"/>
      </w:r>
      <w:r>
        <w:rPr>
          <w:rStyle w:val="InternetLink"/>
        </w:rPr>
        <w:t>48. </w:t>
      </w:r>
      <w:r>
        <w:rPr>
          <w:rStyle w:val="InternetLink"/>
        </w:rPr>
        <w:fldChar w:fldCharType="end"/>
      </w:r>
      <w:r>
        <w:rPr/>
        <w:t xml:space="preserve">Ibid., p. 12. Rorty's description of Kant's view, as with his discussion of a number of other details in the history of Western philosophy, is not entirely accurate. Kant is a clear exception to the assumption about the mind's role in the search for truth that Rorty attributes to Western epistemologists. Kant explicitly rejects the view that it is possible to mirror the world with his contention that the mind plays an important role in shaping our perception of the world. Rorty's account fails to capture Plato's view for similar reasons. For Plato, we do not attempt to reflect things in the world, but through them grasp the </w:t>
      </w:r>
      <w:r>
        <w:rPr>
          <w:i/>
          <w:iCs/>
        </w:rPr>
        <w:t>eidos</w:t>
      </w:r>
      <w:r>
        <w:rPr/>
        <w:t xml:space="preserve"> behind things in the world.</w:t>
      </w:r>
    </w:p>
    <w:p>
      <w:pPr>
        <w:pStyle w:val="NormalWeb"/>
        <w:rPr/>
      </w:pPr>
      <w:r>
        <w:fldChar w:fldCharType="begin"/>
      </w:r>
      <w:r>
        <w:rPr>
          <w:rStyle w:val="InternetLink"/>
        </w:rPr>
        <w:instrText> HYPERLINK "http://muse.jhu.edu.libproxy.mit.edu/journals/philosophy_east_and_west/v058/58.3.cline.html" \l "f49-text"</w:instrText>
      </w:r>
      <w:r>
        <w:rPr>
          <w:rStyle w:val="InternetLink"/>
        </w:rPr>
        <w:fldChar w:fldCharType="separate"/>
      </w:r>
      <w:r>
        <w:rPr>
          <w:rStyle w:val="InternetLink"/>
        </w:rPr>
        <w:t>49. </w:t>
      </w:r>
      <w:r>
        <w:rPr>
          <w:rStyle w:val="InternetLink"/>
        </w:rPr>
        <w:fldChar w:fldCharType="end"/>
      </w:r>
      <w:r>
        <w:rPr/>
        <w:t xml:space="preserve">Rorty, </w:t>
      </w:r>
      <w:r>
        <w:rPr>
          <w:i/>
          <w:iCs/>
        </w:rPr>
        <w:t>Philosophy and the Mirror of Nature</w:t>
      </w:r>
      <w:r>
        <w:rPr/>
        <w:t>, pp. 100–101.</w:t>
      </w:r>
    </w:p>
    <w:p>
      <w:pPr>
        <w:pStyle w:val="NormalWeb"/>
        <w:rPr/>
      </w:pPr>
      <w:r>
        <w:fldChar w:fldCharType="begin"/>
      </w:r>
      <w:r>
        <w:rPr>
          <w:rStyle w:val="InternetLink"/>
        </w:rPr>
        <w:instrText> HYPERLINK "http://muse.jhu.edu.libproxy.mit.edu/journals/philosophy_east_and_west/v058/58.3.cline.html" \l "f50-text"</w:instrText>
      </w:r>
      <w:r>
        <w:rPr>
          <w:rStyle w:val="InternetLink"/>
        </w:rPr>
        <w:fldChar w:fldCharType="separate"/>
      </w:r>
      <w:r>
        <w:rPr>
          <w:rStyle w:val="InternetLink"/>
        </w:rPr>
        <w:t>50. </w:t>
      </w:r>
      <w:r>
        <w:rPr>
          <w:rStyle w:val="InternetLink"/>
        </w:rPr>
        <w:fldChar w:fldCharType="end"/>
      </w:r>
      <w:r>
        <w:rPr/>
        <w:t>Ibid., p. 357.</w:t>
      </w:r>
    </w:p>
    <w:p>
      <w:pPr>
        <w:pStyle w:val="NormalWeb"/>
        <w:rPr/>
      </w:pPr>
      <w:r>
        <w:fldChar w:fldCharType="begin"/>
      </w:r>
      <w:r>
        <w:rPr>
          <w:rStyle w:val="InternetLink"/>
        </w:rPr>
        <w:instrText> HYPERLINK "http://muse.jhu.edu.libproxy.mit.edu/journals/philosophy_east_and_west/v058/58.3.cline.html" \l "f51-text"</w:instrText>
      </w:r>
      <w:r>
        <w:rPr>
          <w:rStyle w:val="InternetLink"/>
        </w:rPr>
        <w:fldChar w:fldCharType="separate"/>
      </w:r>
      <w:r>
        <w:rPr>
          <w:rStyle w:val="InternetLink"/>
        </w:rPr>
        <w:t>51. </w:t>
      </w:r>
      <w:r>
        <w:rPr>
          <w:rStyle w:val="InternetLink"/>
        </w:rPr>
        <w:fldChar w:fldCharType="end"/>
      </w:r>
      <w:r>
        <w:rPr/>
        <w:t>Ibid., p. 392.</w:t>
      </w:r>
    </w:p>
    <w:p>
      <w:pPr>
        <w:pStyle w:val="NormalWeb"/>
        <w:rPr/>
      </w:pPr>
      <w:r>
        <w:fldChar w:fldCharType="begin"/>
      </w:r>
      <w:r>
        <w:rPr>
          <w:rStyle w:val="InternetLink"/>
        </w:rPr>
        <w:instrText> HYPERLINK "http://muse.jhu.edu.libproxy.mit.edu/journals/philosophy_east_and_west/v058/58.3.cline.html" \l "f52-text"</w:instrText>
      </w:r>
      <w:r>
        <w:rPr>
          <w:rStyle w:val="InternetLink"/>
        </w:rPr>
        <w:fldChar w:fldCharType="separate"/>
      </w:r>
      <w:r>
        <w:rPr>
          <w:rStyle w:val="InternetLink"/>
        </w:rPr>
        <w:t>52. </w:t>
      </w:r>
      <w:r>
        <w:rPr>
          <w:rStyle w:val="InternetLink"/>
        </w:rPr>
        <w:fldChar w:fldCharType="end"/>
      </w:r>
      <w:r>
        <w:rPr/>
        <w:t>Ibid., p. 248.</w:t>
      </w:r>
    </w:p>
    <w:p>
      <w:pPr>
        <w:pStyle w:val="NormalWeb"/>
        <w:rPr/>
      </w:pPr>
      <w:r>
        <w:fldChar w:fldCharType="begin"/>
      </w:r>
      <w:r>
        <w:rPr>
          <w:rStyle w:val="InternetLink"/>
        </w:rPr>
        <w:instrText> HYPERLINK "http://muse.jhu.edu.libproxy.mit.edu/journals/philosophy_east_and_west/v058/58.3.cline.html" \l "f53-text"</w:instrText>
      </w:r>
      <w:r>
        <w:rPr>
          <w:rStyle w:val="InternetLink"/>
        </w:rPr>
        <w:fldChar w:fldCharType="separate"/>
      </w:r>
      <w:r>
        <w:rPr>
          <w:rStyle w:val="InternetLink"/>
        </w:rPr>
        <w:t>53. </w:t>
      </w:r>
      <w:r>
        <w:rPr>
          <w:rStyle w:val="InternetLink"/>
        </w:rPr>
        <w:fldChar w:fldCharType="end"/>
      </w:r>
      <w:r>
        <w:rPr/>
        <w:t>Ibid., p. 249.</w:t>
      </w:r>
    </w:p>
    <w:p>
      <w:pPr>
        <w:pStyle w:val="NormalWeb"/>
        <w:rPr/>
      </w:pPr>
      <w:r>
        <w:fldChar w:fldCharType="begin"/>
      </w:r>
      <w:r>
        <w:rPr>
          <w:rStyle w:val="InternetLink"/>
        </w:rPr>
        <w:instrText> HYPERLINK "http://muse.jhu.edu.libproxy.mit.edu/journals/philosophy_east_and_west/v058/58.3.cline.html" \l "f54-text"</w:instrText>
      </w:r>
      <w:r>
        <w:rPr>
          <w:rStyle w:val="InternetLink"/>
        </w:rPr>
        <w:fldChar w:fldCharType="separate"/>
      </w:r>
      <w:r>
        <w:rPr>
          <w:rStyle w:val="InternetLink"/>
        </w:rPr>
        <w:t>54. </w:t>
      </w:r>
      <w:r>
        <w:rPr>
          <w:rStyle w:val="InternetLink"/>
        </w:rPr>
        <w:fldChar w:fldCharType="end"/>
      </w:r>
      <w:r>
        <w:rPr/>
        <w:t>Ibid., p. 371.</w:t>
      </w:r>
    </w:p>
    <w:p>
      <w:pPr>
        <w:pStyle w:val="NormalWeb"/>
        <w:rPr/>
      </w:pPr>
      <w:r>
        <w:fldChar w:fldCharType="begin"/>
      </w:r>
      <w:r>
        <w:rPr>
          <w:rStyle w:val="InternetLink"/>
        </w:rPr>
        <w:instrText> HYPERLINK "http://muse.jhu.edu.libproxy.mit.edu/journals/philosophy_east_and_west/v058/58.3.cline.html" \l "f55-text"</w:instrText>
      </w:r>
      <w:r>
        <w:rPr>
          <w:rStyle w:val="InternetLink"/>
        </w:rPr>
        <w:fldChar w:fldCharType="separate"/>
      </w:r>
      <w:r>
        <w:rPr>
          <w:rStyle w:val="InternetLink"/>
        </w:rPr>
        <w:t>55. </w:t>
      </w:r>
      <w:r>
        <w:rPr>
          <w:rStyle w:val="InternetLink"/>
        </w:rPr>
        <w:fldChar w:fldCharType="end"/>
      </w:r>
      <w:r>
        <w:rPr/>
        <w:t xml:space="preserve">Western understandings of mirrors are more diverse than Rorty indicates. Examples of Western folk beliefs in which mirrors are not understood as mere passive reflectors of reality can be seen in stories such as </w:t>
      </w:r>
      <w:r>
        <w:rPr>
          <w:i/>
          <w:iCs/>
        </w:rPr>
        <w:t>Snow White</w:t>
      </w:r>
      <w:r>
        <w:rPr/>
        <w:t xml:space="preserve"> and </w:t>
      </w:r>
      <w:r>
        <w:rPr>
          <w:i/>
          <w:iCs/>
        </w:rPr>
        <w:t>Alice in Wonderland</w:t>
      </w:r>
      <w:r>
        <w:rPr/>
        <w:t>, as well as vampire stories. Rorty's view, however, certainly describes the way that mirrors have been understood in most philosophical and religious texts.</w:t>
      </w:r>
    </w:p>
    <w:p>
      <w:pPr>
        <w:pStyle w:val="NormalWeb"/>
        <w:rPr/>
      </w:pPr>
      <w:r>
        <w:fldChar w:fldCharType="begin"/>
      </w:r>
      <w:r>
        <w:rPr>
          <w:rStyle w:val="InternetLink"/>
        </w:rPr>
        <w:instrText> HYPERLINK "http://muse.jhu.edu.libproxy.mit.edu/journals/philosophy_east_and_west/v058/58.3.cline.html" \l "f56-text"</w:instrText>
      </w:r>
      <w:r>
        <w:rPr>
          <w:rStyle w:val="InternetLink"/>
        </w:rPr>
        <w:fldChar w:fldCharType="separate"/>
      </w:r>
      <w:r>
        <w:rPr>
          <w:rStyle w:val="InternetLink"/>
        </w:rPr>
        <w:t>56. </w:t>
      </w:r>
      <w:r>
        <w:rPr>
          <w:rStyle w:val="InternetLink"/>
        </w:rPr>
        <w:fldChar w:fldCharType="end"/>
      </w:r>
      <w:r>
        <w:rPr/>
        <w:t xml:space="preserve">Rorty, </w:t>
      </w:r>
      <w:r>
        <w:rPr>
          <w:i/>
          <w:iCs/>
        </w:rPr>
        <w:t>Philosophy and the Mirror of Nature</w:t>
      </w:r>
      <w:r>
        <w:rPr/>
        <w:t>, p. 309.</w:t>
      </w:r>
    </w:p>
    <w:p>
      <w:pPr>
        <w:pStyle w:val="NormalWeb"/>
        <w:rPr/>
      </w:pPr>
      <w:r>
        <w:fldChar w:fldCharType="begin"/>
      </w:r>
      <w:r>
        <w:rPr>
          <w:rStyle w:val="InternetLink"/>
        </w:rPr>
        <w:instrText> HYPERLINK "http://muse.jhu.edu.libproxy.mit.edu/journals/philosophy_east_and_west/v058/58.3.cline.html" \l "f57-text"</w:instrText>
      </w:r>
      <w:r>
        <w:rPr>
          <w:rStyle w:val="InternetLink"/>
        </w:rPr>
        <w:fldChar w:fldCharType="separate"/>
      </w:r>
      <w:r>
        <w:rPr>
          <w:rStyle w:val="InternetLink"/>
        </w:rPr>
        <w:t>57. </w:t>
      </w:r>
      <w:r>
        <w:rPr>
          <w:rStyle w:val="InternetLink"/>
        </w:rPr>
        <w:fldChar w:fldCharType="end"/>
      </w:r>
      <w:r>
        <w:rPr/>
        <w:t xml:space="preserve">Slingerland, </w:t>
      </w:r>
      <w:r>
        <w:rPr>
          <w:i/>
          <w:iCs/>
        </w:rPr>
        <w:t>Effortless Action</w:t>
      </w:r>
      <w:r>
        <w:rPr/>
        <w:t>, p. 272.</w:t>
      </w:r>
    </w:p>
    <w:p>
      <w:pPr>
        <w:pStyle w:val="NormalWeb"/>
        <w:rPr/>
      </w:pPr>
      <w:r>
        <w:fldChar w:fldCharType="begin"/>
      </w:r>
      <w:r>
        <w:rPr>
          <w:rStyle w:val="InternetLink"/>
        </w:rPr>
        <w:instrText> HYPERLINK "http://muse.jhu.edu.libproxy.mit.edu/journals/philosophy_east_and_west/v058/58.3.cline.html" \l "f58-text"</w:instrText>
      </w:r>
      <w:r>
        <w:rPr>
          <w:rStyle w:val="InternetLink"/>
        </w:rPr>
        <w:fldChar w:fldCharType="separate"/>
      </w:r>
      <w:r>
        <w:rPr>
          <w:rStyle w:val="InternetLink"/>
        </w:rPr>
        <w:t>58. 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"f59-text"</w:instrText>
      </w:r>
      <w:r>
        <w:rPr>
          <w:rStyle w:val="InternetLink"/>
        </w:rPr>
        <w:fldChar w:fldCharType="separate"/>
      </w:r>
      <w:r>
        <w:rPr>
          <w:rStyle w:val="InternetLink"/>
        </w:rPr>
        <w:t>59. </w:t>
      </w:r>
      <w:r>
        <w:rPr>
          <w:rStyle w:val="InternetLink"/>
        </w:rPr>
        <w:fldChar w:fldCharType="end"/>
      </w:r>
      <w:r>
        <w:rPr/>
        <w:t>Ibid., p. 273.</w:t>
      </w:r>
    </w:p>
    <w:p>
      <w:pPr>
        <w:pStyle w:val="NormalWeb"/>
        <w:rPr/>
      </w:pPr>
      <w:r>
        <w:fldChar w:fldCharType="begin"/>
      </w:r>
      <w:r>
        <w:rPr>
          <w:rStyle w:val="InternetLink"/>
        </w:rPr>
        <w:instrText> HYPERLINK "http://muse.jhu.edu.libproxy.mit.edu/journals/philosophy_east_and_west/v058/58.3.cline.html" \l "f60-text"</w:instrText>
      </w:r>
      <w:r>
        <w:rPr>
          <w:rStyle w:val="InternetLink"/>
        </w:rPr>
        <w:fldChar w:fldCharType="separate"/>
      </w:r>
      <w:r>
        <w:rPr>
          <w:rStyle w:val="InternetLink"/>
        </w:rPr>
        <w:t>60. </w:t>
      </w:r>
      <w:r>
        <w:rPr>
          <w:rStyle w:val="InternetLink"/>
        </w:rPr>
        <w:fldChar w:fldCharType="end"/>
      </w:r>
      <w:r>
        <w:rPr/>
        <w:t>Ibid., pp. 21–22.</w:t>
      </w:r>
    </w:p>
    <w:p>
      <w:pPr>
        <w:pStyle w:val="NormalWeb"/>
        <w:rPr/>
      </w:pPr>
      <w:r>
        <w:fldChar w:fldCharType="begin"/>
      </w:r>
      <w:r>
        <w:rPr>
          <w:rStyle w:val="InternetLink"/>
        </w:rPr>
        <w:instrText> HYPERLINK "http://muse.jhu.edu.libproxy.mit.edu/journals/philosophy_east_and_west/v058/58.3.cline.html" \l "f61-text"</w:instrText>
      </w:r>
      <w:r>
        <w:rPr>
          <w:rStyle w:val="InternetLink"/>
        </w:rPr>
        <w:fldChar w:fldCharType="separate"/>
      </w:r>
      <w:r>
        <w:rPr>
          <w:rStyle w:val="InternetLink"/>
        </w:rPr>
        <w:t>61. </w:t>
      </w:r>
      <w:r>
        <w:rPr>
          <w:rStyle w:val="InternetLink"/>
        </w:rPr>
        <w:fldChar w:fldCharType="end"/>
      </w:r>
      <w:r>
        <w:rPr/>
        <w:t xml:space="preserve">Ibid., pp. 22–23. For every metaphorical expression, there is a corresponding metaphor schema. One of Slingerland's examples is the metaphorical expression </w:t>
      </w:r>
      <w:r>
        <w:rPr>
          <w:b/>
          <w:bCs/>
        </w:rPr>
        <w:t>[End Page 356]</w:t>
      </w:r>
      <w:r>
        <w:rPr/>
        <w:t xml:space="preserve"> "I'm moving right along on the project," which expresses the metaphor schema ACTIONS ARE SELF-PROPELLED MOTIONS.</w:t>
      </w:r>
    </w:p>
    <w:p>
      <w:pPr>
        <w:pStyle w:val="NormalWeb"/>
        <w:rPr/>
      </w:pPr>
      <w:r>
        <w:fldChar w:fldCharType="begin"/>
      </w:r>
      <w:r>
        <w:rPr>
          <w:rStyle w:val="InternetLink"/>
        </w:rPr>
        <w:instrText> HYPERLINK "http://muse.jhu.edu.libproxy.mit.edu/journals/philosophy_east_and_west/v058/58.3.cline.html" \l "f62-text"</w:instrText>
      </w:r>
      <w:r>
        <w:rPr>
          <w:rStyle w:val="InternetLink"/>
        </w:rPr>
        <w:fldChar w:fldCharType="separate"/>
      </w:r>
      <w:r>
        <w:rPr>
          <w:rStyle w:val="InternetLink"/>
        </w:rPr>
        <w:t>62. </w:t>
      </w:r>
      <w:r>
        <w:rPr>
          <w:rStyle w:val="InternetLink"/>
        </w:rPr>
        <w:fldChar w:fldCharType="end"/>
      </w:r>
      <w:r>
        <w:rPr/>
        <w:t>Ibid., p. 272.</w:t>
      </w:r>
    </w:p>
    <w:p>
      <w:pPr>
        <w:pStyle w:val="NormalWeb"/>
        <w:rPr/>
      </w:pPr>
      <w:r>
        <w:fldChar w:fldCharType="begin"/>
      </w:r>
      <w:r>
        <w:rPr>
          <w:rStyle w:val="InternetLink"/>
        </w:rPr>
        <w:instrText> HYPERLINK "http://muse.jhu.edu.libproxy.mit.edu/journals/philosophy_east_and_west/v058/58.3.cline.html" \l "f63-text"</w:instrText>
      </w:r>
      <w:r>
        <w:rPr>
          <w:rStyle w:val="InternetLink"/>
        </w:rPr>
        <w:fldChar w:fldCharType="separate"/>
      </w:r>
      <w:r>
        <w:rPr>
          <w:rStyle w:val="InternetLink"/>
        </w:rPr>
        <w:t>63. </w:t>
      </w:r>
      <w:r>
        <w:rPr>
          <w:rStyle w:val="InternetLink"/>
        </w:rPr>
        <w:fldChar w:fldCharType="end"/>
      </w:r>
      <w:r>
        <w:rPr/>
        <w:t xml:space="preserve">There have been many discussions of how we should view metaphors, and it is beyond the scope of this essay to provide an overview of them. It is worth noting, however, the position that occupies the opposite end of the spectrum from conceptual metaphor theory. According to this view, metaphors are simply illustrative devices with no message or use beyond the literal meaning. An example of this sort of view is seen in the work of Donald Davidson, who maintains that metaphors "mean what the words in their most literal interpretation mean, and nothing more" (see Donald Davidson, "What Metaphors Mean," in </w:t>
      </w:r>
      <w:r>
        <w:rPr>
          <w:i/>
          <w:iCs/>
        </w:rPr>
        <w:t>On Metaphor</w:t>
      </w:r>
      <w:r>
        <w:rPr/>
        <w:t>, ed. Sheldon Sacks [Chicago: University of Chicago Press, 1978], p. 30). This essay assumes that metaphors can serve illustrative functions as well as being transformers of meaning. It seems clear, for example, that the mirror metaphor was used both to express and to shape early Chinese views of the xin. This point can be appreciated from a careful study of this metaphor, independently of one's adoption or rejection of conceptual metaphor theory.</w:t>
      </w:r>
    </w:p>
    <w:p>
      <w:pPr>
        <w:pStyle w:val="NormalWeb"/>
        <w:rPr/>
      </w:pPr>
      <w:r>
        <w:fldChar w:fldCharType="begin"/>
      </w:r>
      <w:r>
        <w:rPr>
          <w:rStyle w:val="InternetLink"/>
        </w:rPr>
        <w:instrText> HYPERLINK "http://muse.jhu.edu.libproxy.mit.edu/journals/philosophy_east_and_west/v058/58.3.cline.html" \l "f64-text"</w:instrText>
      </w:r>
      <w:r>
        <w:rPr>
          <w:rStyle w:val="InternetLink"/>
        </w:rPr>
        <w:fldChar w:fldCharType="separate"/>
      </w:r>
      <w:r>
        <w:rPr>
          <w:rStyle w:val="InternetLink"/>
        </w:rPr>
        <w:t>6</w:t>
      </w:r>
      <w:r>
        <w:rPr>
          <w:rStyle w:val="InternetLink"/>
        </w:rPr>
        <w:fldChar w:fldCharType="end"/>
      </w:r>
      <w:r>
        <w:rPr>
          <w:rStyle w:val="InternetLink"/>
        </w:rPr>
        <w:t>4. </w:t>
      </w:r>
      <w:r>
        <w:rPr/>
        <w:t xml:space="preserve">Slingerland, </w:t>
      </w:r>
      <w:r>
        <w:rPr>
          <w:i/>
          <w:iCs/>
        </w:rPr>
        <w:t>Effortless Action</w:t>
      </w:r>
      <w:r>
        <w:rPr/>
        <w:t>, p. 192.</w:t>
      </w:r>
      <w:r>
        <mc:AlternateContent>
          <mc:Choice Requires="wps">
            <w:drawing>
              <wp:anchor behindDoc="1" distT="0" distB="0" distL="0" distR="0" simplePos="0" locked="0" layoutInCell="1" allowOverlap="1" relativeHeight="39">
                <wp:simplePos x="0" y="0"/>
                <wp:positionH relativeFrom="page">
                  <wp:posOffset>2904490</wp:posOffset>
                </wp:positionH>
                <wp:positionV relativeFrom="page">
                  <wp:posOffset>3691890</wp:posOffset>
                </wp:positionV>
                <wp:extent cx="2032635" cy="3227705"/>
                <wp:effectExtent l="0" t="0" r="0" b="0"/>
                <wp:wrapSquare wrapText="bothSides"/>
                <wp:docPr id="26" name="Frame1"/>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2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title=""/>
                                          <pic:cNvPicPr>
                                            <a:picLocks noChangeAspect="1" noChangeArrowheads="1"/>
                                          </pic:cNvPicPr>
                                        </pic:nvPicPr>
                                        <pic:blipFill>
                                          <a:blip r:embed="rId2"/>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0.7pt;mso-position-vertical-relative:page;margin-left:228.7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2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title=""/>
                                    <pic:cNvPicPr>
                                      <a:picLocks noChangeAspect="1" noChangeArrowheads="1"/>
                                    </pic:cNvPicPr>
                                  </pic:nvPicPr>
                                  <pic:blipFill>
                                    <a:blip r:embed="rId2"/>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Web"/>
        <w:rPr/>
      </w:pPr>
      <w:r>
        <w:fldChar w:fldCharType="begin"/>
      </w:r>
      <w:r>
        <w:rPr>
          <w:rStyle w:val="InternetLink"/>
        </w:rPr>
        <w:instrText> HYPERLINK "http://muse.jhu.edu.libproxy.mit.edu/journals/philosophy_east_and_west/v058/58.3.cline.html" \l "f65-text"</w:instrText>
      </w:r>
      <w:r>
        <w:rPr>
          <w:rStyle w:val="InternetLink"/>
        </w:rPr>
        <w:fldChar w:fldCharType="separate"/>
      </w:r>
      <w:r>
        <w:rPr>
          <w:rStyle w:val="InternetLink"/>
        </w:rPr>
        <w:t>65. </w:t>
      </w:r>
      <w:r>
        <w:rPr>
          <w:rStyle w:val="InternetLink"/>
        </w:rPr>
        <w:fldChar w:fldCharType="end"/>
      </w:r>
      <w:r>
        <w:rPr/>
        <w:t>Another difficulty with Slingerland's claim that the mirror metaphor expresses the "self as container" metaphor schema is the view that Zhuangzi believes that the self is a container to be emptied. Slingerland notes that Zhuangzi's view is that what needs to be emptied are "all of the human distinctions that have accumulated and thereby blocked one's access to the Way," and he mentions the importance of "forgetting/expelling externalities if one is to harmonize one's internal skill with the Way" (</w:t>
      </w:r>
      <w:r>
        <w:rPr>
          <w:i/>
          <w:iCs/>
        </w:rPr>
        <w:t>Effortless Action</w:t>
      </w:r>
      <w:r>
        <w:rPr/>
        <w:t xml:space="preserve">, p. 186). So it seems that Slingerland thinks the container of the self must only be </w:t>
      </w:r>
      <w:r>
        <w:rPr>
          <w:i/>
          <w:iCs/>
        </w:rPr>
        <w:t>partly</w:t>
      </w:r>
      <w:r>
        <w:rPr/>
        <w:t xml:space="preserve"> emptied—of the harmful, artificial contents but not of its originally good contents (one's "internal skill"). Woodcarver Qing's statement that he "matches up 'Heaven' with 'Heaven"' clearly expresses Zhuangzi's view of the Heaven that is within humans, as a part of their originally good nature (Watson, </w:t>
      </w:r>
      <w:r>
        <w:rPr>
          <w:i/>
          <w:iCs/>
        </w:rPr>
        <w:t>Chuang Tzu</w:t>
      </w:r>
      <w:r>
        <w:rPr/>
        <w:t>, p. 206). In Slingerland's discussion, he notes that "Qing is able to be open to the Heavenly nature (</w:t>
      </w:r>
      <w:r>
        <w:rPr>
          <w:i/>
          <w:iCs/>
        </w:rPr>
        <w:t>tianxing</w:t>
      </w:r>
      <w:r>
        <w:rPr/>
        <w:t>) of the mountain trees and skillfully harmonize his inner state (the 'Heaven' within) with the Way (the 'Heaven' without)" (</w:t>
      </w:r>
      <w:r>
        <w:rPr>
          <w:i/>
          <w:iCs/>
        </w:rPr>
        <w:t>Effortless Action</w:t>
      </w:r>
      <w:r>
        <w:rPr/>
        <w:t>, p. 186). It is not clear in what sense the self can be empty—like a container—if there is still something inside (the "Heaven" within). This discrepancy would seem to indicate that Zhuangzi's view might not be an expression of the "self as container" metaphor schema.</w:t>
      </w:r>
    </w:p>
    <w:p>
      <w:pPr>
        <w:pStyle w:val="NormalWeb"/>
        <w:rPr/>
      </w:pPr>
      <w:r>
        <w:fldChar w:fldCharType="begin"/>
      </w:r>
      <w:r>
        <w:rPr>
          <w:rStyle w:val="InternetLink"/>
        </w:rPr>
        <w:instrText> HYPERLINK "http://muse.jhu.edu.libproxy.mit.edu/journals/philosophy_east_and_west/v058/58.3.cline.html" \l "f66-text"</w:instrText>
      </w:r>
      <w:r>
        <w:rPr>
          <w:rStyle w:val="InternetLink"/>
        </w:rPr>
        <w:fldChar w:fldCharType="separate"/>
      </w:r>
      <w:r>
        <w:rPr>
          <w:rStyle w:val="InternetLink"/>
        </w:rPr>
        <w:t>66. </w:t>
      </w:r>
      <w:r>
        <w:rPr>
          <w:rStyle w:val="InternetLink"/>
        </w:rPr>
        <w:fldChar w:fldCharType="end"/>
      </w:r>
      <w:r>
        <w:rPr/>
        <w:t xml:space="preserve">Slingerland, </w:t>
      </w:r>
      <w:r>
        <w:rPr>
          <w:i/>
          <w:iCs/>
        </w:rPr>
        <w:t>Effortless Action</w:t>
      </w:r>
      <w:r>
        <w:rPr/>
        <w:t xml:space="preserve">, p. 227. </w:t>
      </w:r>
    </w:p>
    <w:p>
      <w:pPr>
        <w:pStyle w:val="Normal"/>
        <w:rPr/>
      </w:pPr>
      <w:r>
        <w:rPr/>
      </w:r>
    </w:p>
    <w:p>
      <w:pPr>
        <w:pStyle w:val="Normal"/>
        <w:pBdr>
          <w:top w:val="single" w:sz="4" w:space="12" w:color="000000"/>
        </w:pBdr>
        <w:spacing w:before="6" w:after="0"/>
        <w:rPr>
          <w:rFonts w:ascii="Arial" w:hAnsi="Arial" w:cs="Arial"/>
          <w:spacing w:val="27"/>
          <w:sz w:val="19"/>
          <w:szCs w:val="19"/>
        </w:rPr>
      </w:pPr>
      <w:r>
        <w:rPr>
          <w:rFonts w:cs="Arial" w:ascii="Arial" w:hAnsi="Arial"/>
          <w:spacing w:val="27"/>
          <w:sz w:val="19"/>
          <w:szCs w:val="19"/>
        </w:rPr>
        <w:t>Tang Dynasty Mirrors</w:t>
      </w:r>
    </w:p>
    <w:p>
      <w:pPr>
        <w:pStyle w:val="Normal"/>
        <w:spacing w:before="72" w:after="0"/>
        <w:ind w:end="360" w:hanging="0"/>
        <w:rPr/>
      </w:pPr>
      <w:r>
        <w:rPr>
          <w:rFonts w:cs="Garamond" w:ascii="Garamond" w:hAnsi="Garamond"/>
          <w:spacing w:val="4"/>
          <w:sz w:val="22"/>
          <w:szCs w:val="22"/>
        </w:rPr>
        <w:t xml:space="preserve">The casting of bronze mirrors with elaborate decoration on the </w:t>
      </w:r>
      <w:r>
        <w:rPr>
          <w:rFonts w:cs="Garamond" w:ascii="Garamond" w:hAnsi="Garamond"/>
          <w:spacing w:val="-3"/>
          <w:sz w:val="22"/>
          <w:szCs w:val="22"/>
        </w:rPr>
        <w:t xml:space="preserve">reverse can be traced back in Chinese history to the beginning of the </w:t>
      </w:r>
      <w:r>
        <w:rPr>
          <w:rFonts w:cs="Garamond" w:ascii="Garamond" w:hAnsi="Garamond"/>
          <w:spacing w:val="-1"/>
          <w:sz w:val="22"/>
          <w:szCs w:val="22"/>
        </w:rPr>
        <w:t>Bronze Age. Not only were such mirrors used in daily life, they were also considered sacred objects. Many scholarly studies on the decor of</w:t>
      </w:r>
    </w:p>
    <w:p>
      <w:pPr>
        <w:pStyle w:val="Normal"/>
        <w:spacing w:before="72" w:after="0"/>
        <w:ind w:end="72" w:hanging="0"/>
        <w:rPr/>
      </w:pPr>
      <w:r>
        <w:rPr>
          <w:rFonts w:cs="Garamond" w:ascii="Garamond" w:hAnsi="Garamond"/>
          <w:spacing w:val="-2"/>
          <w:sz w:val="22"/>
          <w:szCs w:val="22"/>
        </w:rPr>
        <w:t xml:space="preserve">mirrors of the Han dynasty </w:t>
      </w:r>
      <w:r>
        <w:rPr>
          <w:spacing w:val="-2"/>
          <w:sz w:val="15"/>
          <w:szCs w:val="15"/>
        </w:rPr>
        <w:t xml:space="preserve">(206 BC—AD 220) </w:t>
      </w:r>
      <w:r>
        <w:rPr>
          <w:rFonts w:cs="Garamond" w:ascii="Garamond" w:hAnsi="Garamond"/>
          <w:spacing w:val="-2"/>
          <w:sz w:val="22"/>
          <w:szCs w:val="22"/>
        </w:rPr>
        <w:t xml:space="preserve">have addressed the symbolic </w:t>
      </w:r>
      <w:r>
        <w:rPr>
          <w:rFonts w:cs="Garamond" w:ascii="Garamond" w:hAnsi="Garamond"/>
          <w:sz w:val="22"/>
          <w:szCs w:val="22"/>
        </w:rPr>
        <w:t xml:space="preserve">portrayal of the universe and the forces within it. By the Tang dynasty </w:t>
      </w:r>
      <w:r>
        <w:rPr>
          <w:rFonts w:cs="Garamond" w:ascii="Garamond" w:hAnsi="Garamond"/>
          <w:spacing w:val="-1"/>
          <w:sz w:val="22"/>
          <w:szCs w:val="22"/>
        </w:rPr>
        <w:t>(618-9o7), however, the happiness of this world as well as glorification</w:t>
      </w:r>
    </w:p>
    <w:p>
      <w:pPr>
        <w:pStyle w:val="Normal"/>
        <w:spacing w:before="72" w:after="0"/>
        <w:ind w:end="216" w:hanging="0"/>
        <w:rPr/>
      </w:pPr>
      <w:r>
        <w:rPr>
          <w:rFonts w:cs="Garamond" w:ascii="Garamond" w:hAnsi="Garamond"/>
          <w:spacing w:val="1"/>
          <w:sz w:val="22"/>
          <w:szCs w:val="22"/>
        </w:rPr>
        <w:t xml:space="preserve">of the ideal world appear in mirror decoration.' The celestial context </w:t>
      </w:r>
      <w:r>
        <w:rPr>
          <w:rFonts w:cs="Garamond" w:ascii="Garamond" w:hAnsi="Garamond"/>
          <w:spacing w:val="-2"/>
          <w:sz w:val="22"/>
          <w:szCs w:val="22"/>
        </w:rPr>
        <w:t xml:space="preserve">of the ornamentation gradually gave way to the idealization of a blissful </w:t>
      </w:r>
      <w:r>
        <w:rPr>
          <w:rFonts w:cs="Garamond" w:ascii="Garamond" w:hAnsi="Garamond"/>
          <w:spacing w:val="-1"/>
          <w:sz w:val="22"/>
          <w:szCs w:val="22"/>
        </w:rPr>
        <w:t>land. Undoubtedly, the Tang people regarded bronze mirrors as durable</w:t>
      </w:r>
    </w:p>
    <w:p>
      <w:pPr>
        <w:pStyle w:val="Normal"/>
        <w:spacing w:before="72" w:after="0"/>
        <w:jc w:val="both"/>
        <w:rPr>
          <w:rFonts w:ascii="Garamond" w:hAnsi="Garamond" w:cs="Garamond"/>
          <w:spacing w:val="-2"/>
          <w:sz w:val="22"/>
          <w:szCs w:val="22"/>
        </w:rPr>
      </w:pPr>
      <w:r>
        <w:rPr>
          <w:rFonts w:cs="Garamond" w:ascii="Garamond" w:hAnsi="Garamond"/>
          <w:spacing w:val="-5"/>
          <w:sz w:val="22"/>
          <w:szCs w:val="22"/>
        </w:rPr>
        <w:t xml:space="preserve">precious treasures. Materials such as gold, silver, and mother-of-pearl were </w:t>
      </w:r>
      <w:r>
        <w:rPr>
          <w:rFonts w:cs="Garamond" w:ascii="Garamond" w:hAnsi="Garamond"/>
          <w:spacing w:val="-1"/>
          <w:sz w:val="22"/>
          <w:szCs w:val="22"/>
        </w:rPr>
        <w:t xml:space="preserve">expressively applied, with imaginative birds and flowers, fantastic animals, </w:t>
      </w:r>
      <w:r>
        <w:rPr>
          <w:rFonts w:cs="Garamond" w:ascii="Garamond" w:hAnsi="Garamond"/>
          <w:spacing w:val="-2"/>
          <w:sz w:val="22"/>
          <w:szCs w:val="22"/>
        </w:rPr>
        <w:t>and grapevines floating exuberantly across these sumptuous surfaces.</w:t>
      </w:r>
      <w:r>
        <w:rPr>
          <w:spacing w:val="-2"/>
          <w:sz w:val="22"/>
          <w:szCs w:val="22"/>
          <w:vertAlign w:val="superscript"/>
        </w:rPr>
        <w:t>2</w:t>
      </w:r>
    </w:p>
    <w:p>
      <w:pPr>
        <w:pStyle w:val="Normal"/>
        <w:spacing w:before="72" w:after="0"/>
        <w:ind w:end="432" w:firstLine="432"/>
        <w:rPr/>
      </w:pPr>
      <w:r>
        <w:rPr>
          <w:rFonts w:cs="Garamond" w:ascii="Garamond" w:hAnsi="Garamond"/>
          <w:spacing w:val="1"/>
          <w:sz w:val="22"/>
          <w:szCs w:val="22"/>
        </w:rPr>
        <w:t xml:space="preserve">In major museum collections around the world, Tang mirrors </w:t>
      </w:r>
      <w:r>
        <w:rPr>
          <w:rFonts w:cs="Garamond" w:ascii="Garamond" w:hAnsi="Garamond"/>
          <w:spacing w:val="-1"/>
          <w:sz w:val="22"/>
          <w:szCs w:val="22"/>
        </w:rPr>
        <w:t>of exquisite quality often stand out from other bronze decorative art.</w:t>
      </w:r>
    </w:p>
    <w:p>
      <w:pPr>
        <w:pStyle w:val="Normal"/>
        <w:spacing w:before="36" w:after="0"/>
        <w:ind w:end="216" w:hanging="0"/>
        <w:rPr/>
      </w:pPr>
      <w:r>
        <w:rPr>
          <w:rFonts w:cs="Garamond" w:ascii="Garamond" w:hAnsi="Garamond"/>
          <w:spacing w:val="-2"/>
          <w:sz w:val="22"/>
          <w:szCs w:val="22"/>
        </w:rPr>
        <w:t xml:space="preserve">Furthermore, Tang mirrors survive in noticeably larger quantities than </w:t>
      </w:r>
      <w:r>
        <w:rPr>
          <w:rFonts w:cs="Garamond" w:ascii="Garamond" w:hAnsi="Garamond"/>
          <w:spacing w:val="1"/>
          <w:sz w:val="22"/>
          <w:szCs w:val="22"/>
        </w:rPr>
        <w:t xml:space="preserve">earlier bronze mirrors, which suggests a growing presence at that time </w:t>
      </w:r>
      <w:r>
        <w:rPr>
          <w:rFonts w:cs="Garamond" w:ascii="Garamond" w:hAnsi="Garamond"/>
          <w:spacing w:val="-5"/>
          <w:sz w:val="22"/>
          <w:szCs w:val="22"/>
        </w:rPr>
        <w:t xml:space="preserve">of socially and economically prominent gentry and merchants. Wealthy </w:t>
      </w:r>
      <w:r>
        <w:rPr>
          <w:rFonts w:cs="Garamond" w:ascii="Garamond" w:hAnsi="Garamond"/>
          <w:spacing w:val="-1"/>
          <w:sz w:val="22"/>
          <w:szCs w:val="22"/>
        </w:rPr>
        <w:t>cosmopolitan patrons living in this prosperous and stable time created a</w:t>
      </w:r>
    </w:p>
    <w:p>
      <w:pPr>
        <w:pStyle w:val="Normal"/>
        <w:spacing w:before="108" w:after="0"/>
        <w:rPr/>
      </w:pPr>
      <w:r>
        <w:rPr>
          <w:rFonts w:cs="Garamond" w:ascii="Garamond" w:hAnsi="Garamond"/>
          <w:spacing w:val="-2"/>
          <w:sz w:val="22"/>
          <w:szCs w:val="22"/>
        </w:rPr>
        <w:t xml:space="preserve">market of sumptuous artistic connoisseurship that reached its peak around </w:t>
      </w:r>
      <w:r>
        <w:rPr>
          <w:rFonts w:cs="Garamond" w:ascii="Garamond" w:hAnsi="Garamond"/>
          <w:spacing w:val="1"/>
          <w:sz w:val="22"/>
          <w:szCs w:val="22"/>
        </w:rPr>
        <w:t>the late seventh to the beginning of the eighth century. As Professor Ju</w:t>
        <w:softHyphen/>
      </w:r>
      <w:r>
        <w:rPr>
          <w:rFonts w:cs="Garamond" w:ascii="Garamond" w:hAnsi="Garamond"/>
          <w:sz w:val="22"/>
          <w:szCs w:val="22"/>
        </w:rPr>
        <w:t>hsi Chou has pointed out,</w:t>
      </w:r>
      <w:r>
        <w:rPr>
          <w:sz w:val="22"/>
          <w:szCs w:val="22"/>
          <w:vertAlign w:val="superscript"/>
        </w:rPr>
        <w:t>3</w:t>
      </w:r>
      <w:r>
        <w:rPr>
          <w:rFonts w:cs="Garamond" w:ascii="Garamond" w:hAnsi="Garamond"/>
          <w:sz w:val="22"/>
          <w:szCs w:val="22"/>
        </w:rPr>
        <w:t xml:space="preserve"> the dynastic capitals, or at times secondary </w:t>
      </w:r>
      <w:r>
        <w:rPr>
          <w:rFonts w:cs="Garamond" w:ascii="Garamond" w:hAnsi="Garamond"/>
          <w:spacing w:val="-1"/>
          <w:sz w:val="22"/>
          <w:szCs w:val="22"/>
        </w:rPr>
        <w:t>capitals, tended to be centers for the production and consumption</w:t>
      </w:r>
    </w:p>
    <w:p>
      <w:pPr>
        <w:pStyle w:val="Normal"/>
        <w:spacing w:before="72" w:after="0"/>
        <w:rPr/>
      </w:pPr>
      <w:r>
        <w:rPr>
          <w:rFonts w:cs="Garamond" w:ascii="Garamond" w:hAnsi="Garamond"/>
          <w:sz w:val="22"/>
          <w:szCs w:val="22"/>
        </w:rPr>
        <w:t xml:space="preserve">of mirrors. By the Tang dynasty, in addition to the capitals,Yangzhou </w:t>
      </w:r>
      <w:r>
        <w:rPr>
          <w:rFonts w:cs="Garamond" w:ascii="Garamond" w:hAnsi="Garamond"/>
          <w:spacing w:val="-4"/>
          <w:sz w:val="22"/>
          <w:szCs w:val="22"/>
        </w:rPr>
        <w:t xml:space="preserve">produced exquisite mirrors and sent the best ones to the imperial court as </w:t>
      </w:r>
      <w:r>
        <w:rPr>
          <w:rFonts w:cs="Garamond" w:ascii="Garamond" w:hAnsi="Garamond"/>
          <w:sz w:val="22"/>
          <w:szCs w:val="22"/>
        </w:rPr>
        <w:t>tribute."</w:t>
      </w:r>
    </w:p>
    <w:p>
      <w:pPr>
        <w:sectPr>
          <w:footerReference w:type="default" r:id="rId3"/>
          <w:type w:val="nextPage"/>
          <w:pgSz w:w="11918" w:h="16854"/>
          <w:pgMar w:left="4574" w:right="1004" w:header="0" w:top="954" w:footer="0" w:bottom="1270" w:gutter="0"/>
          <w:pgNumType w:fmt="decimal"/>
          <w:formProt w:val="false"/>
          <w:textDirection w:val="lrTb"/>
          <w:docGrid w:type="default" w:linePitch="360" w:charSpace="0"/>
        </w:sectPr>
        <w:pStyle w:val="Normal"/>
        <w:spacing w:before="252" w:after="0"/>
        <w:ind w:end="72" w:firstLine="432"/>
        <w:rPr/>
      </w:pPr>
      <w:r>
        <w:rPr>
          <w:rFonts w:cs="Garamond" w:ascii="Garamond" w:hAnsi="Garamond"/>
          <w:spacing w:val="-4"/>
          <w:sz w:val="22"/>
          <w:szCs w:val="22"/>
        </w:rPr>
        <w:t xml:space="preserve">The opening of China's frontiers and the influx of Buddhist culture </w:t>
      </w:r>
      <w:r>
        <w:rPr>
          <w:rFonts w:cs="Garamond" w:ascii="Garamond" w:hAnsi="Garamond"/>
          <w:spacing w:val="3"/>
          <w:sz w:val="22"/>
          <w:szCs w:val="22"/>
        </w:rPr>
        <w:t xml:space="preserve">brought with it new inspiration for the vocabulary of decorative art. Many novel and exotic foreign objects were imported along the silk </w:t>
      </w:r>
      <w:r>
        <w:rPr>
          <w:rFonts w:cs="Garamond" w:ascii="Garamond" w:hAnsi="Garamond"/>
          <w:sz w:val="22"/>
          <w:szCs w:val="22"/>
        </w:rPr>
        <w:t xml:space="preserve">routes. At the same time, the Chinese worked on their own innovative ideas to fulfill their sense of creativity.s The imperial house patronized </w:t>
      </w:r>
      <w:r>
        <w:rPr>
          <w:rFonts w:cs="Garamond" w:ascii="Garamond" w:hAnsi="Garamond"/>
          <w:spacing w:val="-2"/>
          <w:sz w:val="22"/>
          <w:szCs w:val="22"/>
        </w:rPr>
        <w:t xml:space="preserve">skilled metalsmiths and cultivated the taste for refined details, luxuriant designs, and inlays such as lacquer, glass, gold, and silver. The refined techniques developed in gold and silver ware, such as the Sassanian silver </w:t>
      </w:r>
      <w:r>
        <w:rPr>
          <w:rFonts w:cs="Garamond" w:ascii="Garamond" w:hAnsi="Garamond"/>
          <w:sz w:val="22"/>
          <w:szCs w:val="22"/>
        </w:rPr>
        <w:t>plate with partially gilded embossed figures (fig. 1), provided critical inspiration for the production ofTang mirrors.</w:t>
      </w:r>
    </w:p>
    <w:p>
      <w:pPr>
        <w:pStyle w:val="Normal"/>
        <w:spacing w:lineRule="auto" w:line="271"/>
        <w:ind w:end="288" w:firstLine="432"/>
        <w:rPr/>
      </w:pPr>
      <w:r>
        <w:rPr>
          <w:rFonts w:cs="Garamond" w:ascii="Garamond" w:hAnsi="Garamond"/>
          <w:spacing w:val="6"/>
          <w:sz w:val="21"/>
          <w:szCs w:val="21"/>
        </w:rPr>
        <w:t>T</w:t>
      </w:r>
      <w:r>
        <w:rPr>
          <w:rFonts w:cs="Garamond" w:ascii="Garamond" w:hAnsi="Garamond"/>
          <w:spacing w:val="6"/>
          <w:sz w:val="21"/>
          <w:szCs w:val="21"/>
        </w:rPr>
        <w:t xml:space="preserve">he cosmopolitan culture of Tang China not only reflected </w:t>
      </w:r>
      <w:r>
        <w:rPr>
          <w:rFonts w:cs="Garamond" w:ascii="Garamond" w:hAnsi="Garamond"/>
          <w:spacing w:val="3"/>
          <w:sz w:val="21"/>
          <w:szCs w:val="21"/>
        </w:rPr>
        <w:t xml:space="preserve">intensive interests in western counterparts, but also exerted a strong </w:t>
      </w:r>
      <w:r>
        <w:rPr>
          <w:rFonts w:cs="Garamond" w:ascii="Garamond" w:hAnsi="Garamond"/>
          <w:spacing w:val="5"/>
          <w:sz w:val="21"/>
          <w:szCs w:val="21"/>
        </w:rPr>
        <w:t xml:space="preserve">impact on Korea and Japan in the east. In fact, many superb Tang </w:t>
      </w:r>
      <w:r>
        <w:rPr>
          <w:rFonts w:cs="Garamond" w:ascii="Garamond" w:hAnsi="Garamond"/>
          <w:spacing w:val="3"/>
          <w:sz w:val="21"/>
          <w:szCs w:val="21"/>
        </w:rPr>
        <w:t xml:space="preserve">mirrors among those best known today are in the Shoso-in repository </w:t>
      </w:r>
      <w:r>
        <w:rPr>
          <w:rFonts w:cs="Garamond" w:ascii="Garamond" w:hAnsi="Garamond"/>
          <w:spacing w:val="4"/>
          <w:sz w:val="21"/>
          <w:szCs w:val="21"/>
        </w:rPr>
        <w:t xml:space="preserve">of the Tociai-ji monastery at Nara in Japan. This legendary collection </w:t>
      </w:r>
      <w:r>
        <w:rPr>
          <w:rFonts w:cs="Garamond" w:ascii="Garamond" w:hAnsi="Garamond"/>
          <w:sz w:val="21"/>
          <w:szCs w:val="21"/>
        </w:rPr>
        <w:t xml:space="preserve">of imported Tang decorative art was primarily inherited from Emperor </w:t>
      </w:r>
      <w:r>
        <w:rPr>
          <w:rFonts w:cs="Garamond" w:ascii="Garamond" w:hAnsi="Garamond"/>
          <w:spacing w:val="2"/>
          <w:sz w:val="21"/>
          <w:szCs w:val="21"/>
        </w:rPr>
        <w:t>Shomu (r. 724-749).The emperor, a devoted Buddhist, made the initial</w:t>
      </w:r>
      <w:r>
        <mc:AlternateContent>
          <mc:Choice Requires="wps">
            <w:drawing>
              <wp:anchor behindDoc="0" distT="0" distB="0" distL="0" distR="0" simplePos="0" locked="0" layoutInCell="1" allowOverlap="1" relativeHeight="40">
                <wp:simplePos x="0" y="0"/>
                <wp:positionH relativeFrom="page">
                  <wp:posOffset>2876550</wp:posOffset>
                </wp:positionH>
                <wp:positionV relativeFrom="page">
                  <wp:posOffset>3569970</wp:posOffset>
                </wp:positionV>
                <wp:extent cx="2157730" cy="3332480"/>
                <wp:effectExtent l="0" t="0" r="0" b="0"/>
                <wp:wrapSquare wrapText="bothSides"/>
                <wp:docPr id="29" name="Frame2"/>
                <a:graphic xmlns:a="http://schemas.openxmlformats.org/drawingml/2006/main">
                  <a:graphicData uri="http://schemas.microsoft.com/office/word/2010/wordprocessingShape">
                    <wps:wsp>
                      <wps:cNvSpPr txBox="1"/>
                      <wps:spPr>
                        <a:xfrm>
                          <a:off x="0" y="0"/>
                          <a:ext cx="2157730" cy="333248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bookmarkStart w:id="0" w:name="_1367756058"/>
                                  <w:bookmarkEnd w:id="0"/>
                                  <w:r>
                                    <w:rPr/>
                                    <w:object>
                                      <v:shape id="ole_rId4" style="width:167.45pt;height:173.75pt" o:ole="">
                                        <v:imagedata r:id="rId5" o:title=""/>
                                      </v:shape>
                                      <o:OLEObject Type="Embed" ProgID="" ShapeID="ole_rId4" DrawAspect="Content" ObjectID="_1256968429" r:id="rId4"/>
                                    </w:object>
                                  </w:r>
                                  <w:r>
                                    <w:rPr>
                                      <w:spacing w:val="4"/>
                                      <w:sz w:val="16"/>
                                      <w:szCs w:val="16"/>
                                    </w:rPr>
                                    <w:t>.</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62.4pt;mso-wrap-distance-left:0pt;mso-wrap-distance-right:0pt;mso-wrap-distance-top:0pt;mso-wrap-distance-bottom:0pt;margin-top:281.1pt;mso-position-vertical-relative:page;margin-left:226.5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bookmarkStart w:id="1" w:name="_1367756058"/>
                            <w:bookmarkEnd w:id="1"/>
                            <w:r>
                              <w:rPr/>
                              <w:object>
                                <v:shape id="ole_rId6" style="width:167.45pt;height:173.75pt" o:ole="">
                                  <v:imagedata r:id="rId7" o:title=""/>
                                </v:shape>
                                <o:OLEObject Type="Embed" ProgID="" ShapeID="ole_rId6" DrawAspect="Content" ObjectID="_1747641890" r:id="rId6"/>
                              </w:object>
                            </w:r>
                            <w:r>
                              <w:rPr>
                                <w:spacing w:val="4"/>
                                <w:sz w:val="16"/>
                                <w:szCs w:val="16"/>
                              </w:rPr>
                              <w:t>.</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lineRule="auto" w:line="271"/>
        <w:ind w:end="72" w:hanging="0"/>
        <w:rPr/>
      </w:pPr>
      <w:r>
        <w:rPr>
          <w:rFonts w:cs="Garamond" w:ascii="Garamond" w:hAnsi="Garamond"/>
          <w:spacing w:val="2"/>
          <w:sz w:val="21"/>
          <w:szCs w:val="21"/>
        </w:rPr>
        <w:t xml:space="preserve">dedication of precious religious implements to the eye-opening ceremony of the bronze Great Buddha of the Todai-ji in 752. After Shomu died in </w:t>
      </w:r>
      <w:r>
        <w:rPr>
          <w:rFonts w:cs="Garamond" w:ascii="Garamond" w:hAnsi="Garamond"/>
          <w:spacing w:val="3"/>
          <w:sz w:val="21"/>
          <w:szCs w:val="21"/>
        </w:rPr>
        <w:t xml:space="preserve">756, his widow, the dowager empress Komyo, dedicated to the Buddha more than one thousand items from the late emperor's favorite personal </w:t>
      </w:r>
      <w:r>
        <w:rPr>
          <w:rFonts w:cs="Garamond" w:ascii="Garamond" w:hAnsi="Garamond"/>
          <w:spacing w:val="6"/>
          <w:sz w:val="21"/>
          <w:szCs w:val="21"/>
        </w:rPr>
        <w:t xml:space="preserve">and household belongings in five installments!' Included in this mid </w:t>
      </w:r>
      <w:r>
        <w:rPr>
          <w:rFonts w:cs="Garamond" w:ascii="Garamond" w:hAnsi="Garamond"/>
          <w:spacing w:val="5"/>
          <w:sz w:val="21"/>
          <w:szCs w:val="21"/>
        </w:rPr>
        <w:t xml:space="preserve">eighth-century repository are many Tang artworks ranking from fairly </w:t>
      </w:r>
      <w:r>
        <w:rPr>
          <w:rFonts w:cs="Garamond" w:ascii="Garamond" w:hAnsi="Garamond"/>
          <w:spacing w:val="2"/>
          <w:sz w:val="21"/>
          <w:szCs w:val="21"/>
        </w:rPr>
        <w:t>high to the very best quality, even by Chinese standards.</w:t>
      </w:r>
    </w:p>
    <w:p>
      <w:pPr>
        <w:pStyle w:val="Normal"/>
        <w:spacing w:lineRule="auto" w:line="271"/>
        <w:ind w:end="648" w:firstLine="432"/>
        <w:rPr/>
      </w:pPr>
      <w:r>
        <w:rPr>
          <w:rFonts w:cs="Garamond" w:ascii="Garamond" w:hAnsi="Garamond"/>
          <w:spacing w:val="2"/>
          <w:sz w:val="21"/>
          <w:szCs w:val="21"/>
        </w:rPr>
        <w:t xml:space="preserve">The legacy of the Sh5so-in collection provides us profound </w:t>
      </w:r>
      <w:r>
        <w:rPr>
          <w:rFonts w:cs="Garamond" w:ascii="Garamond" w:hAnsi="Garamond"/>
          <w:sz w:val="21"/>
          <w:szCs w:val="21"/>
        </w:rPr>
        <w:t xml:space="preserve">examples for the technical excellence and exquisite design ofTang </w:t>
      </w:r>
      <w:r>
        <w:rPr>
          <w:rFonts w:cs="Garamond" w:ascii="Garamond" w:hAnsi="Garamond"/>
          <w:spacing w:val="2"/>
          <w:sz w:val="21"/>
          <w:szCs w:val="21"/>
        </w:rPr>
        <w:t>decorative art. The large quantity of mirrors (more than fifty) in</w:t>
      </w:r>
    </w:p>
    <w:p>
      <w:pPr>
        <w:pStyle w:val="Normal"/>
        <w:spacing w:lineRule="auto" w:line="276"/>
        <w:rPr/>
      </w:pPr>
      <w:r>
        <w:rPr>
          <w:rFonts w:cs="Garamond" w:ascii="Garamond" w:hAnsi="Garamond"/>
          <w:spacing w:val="4"/>
          <w:sz w:val="21"/>
          <w:szCs w:val="21"/>
        </w:rPr>
        <w:t xml:space="preserve">the collection demonstrates that bronze mirrors were indeed highly </w:t>
      </w:r>
      <w:r>
        <w:rPr>
          <w:rFonts w:cs="Garamond" w:ascii="Garamond" w:hAnsi="Garamond"/>
          <w:spacing w:val="2"/>
          <w:sz w:val="21"/>
          <w:szCs w:val="21"/>
        </w:rPr>
        <w:t xml:space="preserve">appreciated by the court. Notable in this context is the eight-lobed mirror </w:t>
      </w:r>
      <w:r>
        <w:rPr>
          <w:rFonts w:cs="Garamond" w:ascii="Garamond" w:hAnsi="Garamond"/>
          <w:spacing w:val="3"/>
          <w:sz w:val="21"/>
          <w:szCs w:val="21"/>
        </w:rPr>
        <w:t>with silver back depicting the realm of the immortals (fig. 2).</w:t>
      </w:r>
    </w:p>
    <w:p>
      <w:pPr>
        <w:pStyle w:val="Normal"/>
        <w:spacing w:lineRule="auto" w:line="271"/>
        <w:ind w:end="216" w:firstLine="432"/>
        <w:jc w:val="both"/>
        <w:rPr/>
      </w:pPr>
      <w:r>
        <w:rPr>
          <w:rFonts w:cs="Garamond" w:ascii="Garamond" w:hAnsi="Garamond"/>
          <w:spacing w:val="3"/>
          <w:sz w:val="21"/>
          <w:szCs w:val="21"/>
        </w:rPr>
        <w:t xml:space="preserve">Luxurious Tang mirrors preserve the world of artistic imagination </w:t>
      </w:r>
      <w:r>
        <w:rPr>
          <w:rFonts w:cs="Garamond" w:ascii="Garamond" w:hAnsi="Garamond"/>
          <w:spacing w:val="2"/>
          <w:sz w:val="21"/>
          <w:szCs w:val="21"/>
        </w:rPr>
        <w:t xml:space="preserve">as well as the cultural memory of the people at the time. To understand </w:t>
      </w:r>
      <w:r>
        <w:rPr>
          <w:rFonts w:cs="Garamond" w:ascii="Garamond" w:hAnsi="Garamond"/>
          <w:spacing w:val="1"/>
          <w:sz w:val="21"/>
          <w:szCs w:val="21"/>
        </w:rPr>
        <w:t xml:space="preserve">fully the iconology of the decorative motifs on these mirrors, one has to look further into decorative arts such as textiles, gold and silver, pottery, </w:t>
      </w:r>
      <w:r>
        <w:rPr>
          <w:rFonts w:cs="Garamond" w:ascii="Garamond" w:hAnsi="Garamond"/>
          <w:spacing w:val="2"/>
          <w:sz w:val="21"/>
          <w:szCs w:val="21"/>
        </w:rPr>
        <w:t>and architectural decoration. In general, however, unlike the abstract</w:t>
      </w:r>
    </w:p>
    <w:p>
      <w:pPr>
        <w:pStyle w:val="Normal"/>
        <w:spacing w:lineRule="auto" w:line="271"/>
        <w:ind w:end="72" w:hanging="0"/>
        <w:rPr/>
      </w:pPr>
      <w:r>
        <w:rPr>
          <w:rFonts w:cs="Garamond" w:ascii="Garamond" w:hAnsi="Garamond"/>
          <w:spacing w:val="4"/>
          <w:sz w:val="21"/>
          <w:szCs w:val="21"/>
        </w:rPr>
        <w:t xml:space="preserve">cosmological patterns of the Han TLV mirrors,' those of the Tang era focus more closely on the living world of birds and flowers, animated </w:t>
      </w:r>
      <w:r>
        <w:rPr>
          <w:rFonts w:cs="Garamond" w:ascii="Garamond" w:hAnsi="Garamond"/>
          <w:spacing w:val="2"/>
          <w:sz w:val="21"/>
          <w:szCs w:val="21"/>
        </w:rPr>
        <w:t xml:space="preserve">animals, and idealized immortals living in a scenic garden. The following </w:t>
      </w:r>
      <w:r>
        <w:rPr>
          <w:rFonts w:cs="Garamond" w:ascii="Garamond" w:hAnsi="Garamond"/>
          <w:sz w:val="21"/>
          <w:szCs w:val="21"/>
        </w:rPr>
        <w:t xml:space="preserve">paper discusses four types of ornamentation of Tang mirrors: floral motifs, </w:t>
      </w:r>
      <w:r>
        <w:rPr>
          <w:rFonts w:cs="Garamond" w:ascii="Garamond" w:hAnsi="Garamond"/>
          <w:spacing w:val="1"/>
          <w:sz w:val="21"/>
          <w:szCs w:val="21"/>
        </w:rPr>
        <w:t>birds and flowers, plants and animals, and landscapes and figures.</w:t>
      </w:r>
    </w:p>
    <w:p>
      <w:pPr>
        <w:pStyle w:val="Normal"/>
        <w:spacing w:before="288" w:after="0"/>
        <w:rPr>
          <w:rFonts w:ascii="Bookman Old Style" w:hAnsi="Bookman Old Style" w:cs="Bookman Old Style"/>
          <w:i/>
          <w:i/>
          <w:iCs/>
          <w:spacing w:val="-10"/>
          <w:sz w:val="19"/>
          <w:szCs w:val="19"/>
        </w:rPr>
      </w:pPr>
      <w:r>
        <w:rPr>
          <w:rFonts w:cs="Bookman Old Style" w:ascii="Bookman Old Style" w:hAnsi="Bookman Old Style"/>
          <w:i/>
          <w:iCs/>
          <w:spacing w:val="-10"/>
          <w:sz w:val="19"/>
          <w:szCs w:val="19"/>
        </w:rPr>
        <w:t>Floral Motifs</w:t>
      </w:r>
    </w:p>
    <w:p>
      <w:pPr>
        <w:sectPr>
          <w:footerReference w:type="default" r:id="rId8"/>
          <w:type w:val="nextPage"/>
          <w:pgSz w:w="11918" w:h="16854"/>
          <w:pgMar w:left="4410" w:right="1148" w:header="0" w:top="5622" w:footer="0" w:bottom="1190" w:gutter="0"/>
          <w:pgNumType w:fmt="decimal"/>
          <w:formProt w:val="false"/>
          <w:textDirection w:val="lrTb"/>
          <w:docGrid w:type="default" w:linePitch="360" w:charSpace="0"/>
        </w:sectPr>
        <w:pStyle w:val="Normal"/>
        <w:spacing w:lineRule="auto" w:line="271"/>
        <w:ind w:end="72" w:hanging="0"/>
        <w:rPr/>
      </w:pPr>
      <w:r>
        <w:rPr>
          <w:rFonts w:cs="Garamond" w:ascii="Garamond" w:hAnsi="Garamond"/>
          <w:spacing w:val="1"/>
          <w:sz w:val="21"/>
          <w:szCs w:val="21"/>
        </w:rPr>
        <w:t xml:space="preserve">Floral motifs are probably the most common decoration on Tang mirrors. </w:t>
      </w:r>
      <w:r>
        <w:rPr>
          <w:rFonts w:cs="Garamond" w:ascii="Garamond" w:hAnsi="Garamond"/>
          <w:spacing w:val="4"/>
          <w:sz w:val="21"/>
          <w:szCs w:val="21"/>
        </w:rPr>
        <w:t xml:space="preserve">In addition to depictions of peony, camellia, and gardenia on the backs, </w:t>
      </w:r>
      <w:r>
        <w:rPr>
          <w:rFonts w:cs="Garamond" w:ascii="Garamond" w:hAnsi="Garamond"/>
          <w:spacing w:val="1"/>
          <w:sz w:val="21"/>
          <w:szCs w:val="21"/>
        </w:rPr>
        <w:t xml:space="preserve">the contours of many mirrors are themselves designed to imitate that of a </w:t>
      </w:r>
      <w:r>
        <w:rPr>
          <w:rFonts w:cs="Garamond" w:ascii="Garamond" w:hAnsi="Garamond"/>
          <w:spacing w:val="2"/>
          <w:sz w:val="21"/>
          <w:szCs w:val="21"/>
        </w:rPr>
        <w:t>full-blown flower with six or more petals. A splendid example is an eight</w:t>
        <w:noBreakHyphen/>
      </w:r>
    </w:p>
    <w:p>
      <w:pPr>
        <w:pStyle w:val="Normal"/>
        <w:ind w:end="72" w:hanging="0"/>
        <w:rPr/>
      </w:pPr>
      <w:r>
        <w:rPr>
          <w:rFonts w:cs="Garamond" w:ascii="Garamond" w:hAnsi="Garamond"/>
          <w:spacing w:val="2"/>
          <w:sz w:val="22"/>
          <w:szCs w:val="22"/>
        </w:rPr>
        <w:t>l</w:t>
      </w:r>
      <w:r>
        <w:rPr>
          <w:rFonts w:cs="Garamond" w:ascii="Garamond" w:hAnsi="Garamond"/>
          <w:spacing w:val="2"/>
          <w:sz w:val="22"/>
          <w:szCs w:val="22"/>
        </w:rPr>
        <w:t>obed mirror with floral motif in the Sumitomo collection of the Sen</w:t>
        <w:softHyphen/>
      </w:r>
      <w:r>
        <w:rPr>
          <w:rFonts w:cs="Garamond" w:ascii="Garamond" w:hAnsi="Garamond"/>
          <w:spacing w:val="-2"/>
          <w:sz w:val="22"/>
          <w:szCs w:val="22"/>
        </w:rPr>
        <w:t xml:space="preserve">oku Hakko Kan (fig. 3). In the outer circle, an array of eight large floral </w:t>
      </w:r>
      <w:r>
        <w:rPr>
          <w:rFonts w:cs="Garamond" w:ascii="Garamond" w:hAnsi="Garamond"/>
          <w:sz w:val="22"/>
          <w:szCs w:val="22"/>
        </w:rPr>
        <w:t xml:space="preserve">patterns fills up the entire space with a sense of voluptuous elegance. A </w:t>
      </w:r>
      <w:r>
        <w:rPr>
          <w:rFonts w:cs="Garamond" w:ascii="Garamond" w:hAnsi="Garamond"/>
          <w:spacing w:val="-1"/>
          <w:sz w:val="22"/>
          <w:szCs w:val="22"/>
        </w:rPr>
        <w:t xml:space="preserve">mirror of similar design is in the Carter collection (fig. 4); both are in the </w:t>
      </w:r>
      <w:r>
        <w:rPr>
          <w:rFonts w:cs="Garamond" w:ascii="Garamond" w:hAnsi="Garamond"/>
          <w:sz w:val="22"/>
          <w:szCs w:val="22"/>
        </w:rPr>
        <w:t>style of the eighth century.</w:t>
      </w:r>
      <w:r>
        <mc:AlternateContent>
          <mc:Choice Requires="wps">
            <w:drawing>
              <wp:anchor behindDoc="1" distT="0" distB="0" distL="0" distR="0" simplePos="0" locked="0" layoutInCell="1" allowOverlap="1" relativeHeight="41">
                <wp:simplePos x="0" y="0"/>
                <wp:positionH relativeFrom="column">
                  <wp:posOffset>-76200</wp:posOffset>
                </wp:positionH>
                <wp:positionV relativeFrom="paragraph">
                  <wp:posOffset>635</wp:posOffset>
                </wp:positionV>
                <wp:extent cx="2002790" cy="5592445"/>
                <wp:effectExtent l="0" t="0" r="0" b="0"/>
                <wp:wrapSquare wrapText="bothSides"/>
                <wp:docPr id="30" name="Frame3"/>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3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title=""/>
                                          <pic:cNvPicPr>
                                            <a:picLocks noChangeAspect="1" noChangeArrowheads="1"/>
                                          </pic:cNvPicPr>
                                        </pic:nvPicPr>
                                        <pic:blipFill>
                                          <a:blip r:embed="rId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3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title=""/>
                                          <pic:cNvPicPr>
                                            <a:picLocks noChangeAspect="1" noChangeArrowheads="1"/>
                                          </pic:cNvPicPr>
                                        </pic:nvPicPr>
                                        <pic:blipFill>
                                          <a:blip r:embed="rId1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3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title=""/>
                                    <pic:cNvPicPr>
                                      <a:picLocks noChangeAspect="1" noChangeArrowheads="1"/>
                                    </pic:cNvPicPr>
                                  </pic:nvPicPr>
                                  <pic:blipFill>
                                    <a:blip r:embed="rId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3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title=""/>
                                    <pic:cNvPicPr>
                                      <a:picLocks noChangeAspect="1" noChangeArrowheads="1"/>
                                    </pic:cNvPicPr>
                                  </pic:nvPicPr>
                                  <pic:blipFill>
                                    <a:blip r:embed="rId1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rFonts w:cs="Garamond" w:ascii="Garamond" w:hAnsi="Garamond"/>
          <w:spacing w:val="-3"/>
          <w:sz w:val="22"/>
          <w:szCs w:val="22"/>
        </w:rPr>
        <w:t xml:space="preserve">In fact, variations of lobed and foliated mirrors became the favorite </w:t>
      </w:r>
      <w:r>
        <w:rPr>
          <w:rFonts w:cs="Garamond" w:ascii="Garamond" w:hAnsi="Garamond"/>
          <w:spacing w:val="-2"/>
          <w:sz w:val="22"/>
          <w:szCs w:val="22"/>
        </w:rPr>
        <w:t xml:space="preserve">contours of the Tang craftsman. The popularity of flower motifs, especially that of the lotus flower, has always been associated with the demands of </w:t>
      </w:r>
      <w:r>
        <w:rPr>
          <w:rFonts w:cs="Garamond" w:ascii="Garamond" w:hAnsi="Garamond"/>
          <w:spacing w:val="2"/>
          <w:sz w:val="22"/>
          <w:szCs w:val="22"/>
        </w:rPr>
        <w:t xml:space="preserve">Buddhism. For example, a brilliantly painted and gilded wood object in the form of a lotus (fig. 5) presumably served as a base for an offering </w:t>
      </w:r>
      <w:r>
        <w:rPr>
          <w:rFonts w:cs="Garamond" w:ascii="Garamond" w:hAnsi="Garamond"/>
          <w:spacing w:val="-1"/>
          <w:sz w:val="22"/>
          <w:szCs w:val="22"/>
        </w:rPr>
        <w:t>lamp used in a temple. The icon of a fully blossoming lotus flower is</w:t>
      </w:r>
    </w:p>
    <w:p>
      <w:pPr>
        <w:pStyle w:val="Normal"/>
        <w:spacing w:before="144" w:after="0"/>
        <w:ind w:end="72" w:hanging="0"/>
        <w:rPr/>
      </w:pPr>
      <w:r>
        <w:rPr>
          <w:rFonts w:cs="Garamond" w:ascii="Garamond" w:hAnsi="Garamond"/>
          <w:spacing w:val="2"/>
          <w:sz w:val="22"/>
          <w:szCs w:val="22"/>
        </w:rPr>
        <w:t xml:space="preserve">also a prominent decorative element in Buddhist architecture in the </w:t>
      </w:r>
      <w:r>
        <w:rPr>
          <w:rFonts w:cs="Garamond" w:ascii="Garamond" w:hAnsi="Garamond"/>
          <w:spacing w:val="-5"/>
          <w:sz w:val="22"/>
          <w:szCs w:val="22"/>
        </w:rPr>
        <w:t xml:space="preserve">Yungang cave temples during the Northern Wei dynasty around the 46os. </w:t>
      </w:r>
      <w:r>
        <w:rPr>
          <w:rFonts w:cs="Garamond" w:ascii="Garamond" w:hAnsi="Garamond"/>
          <w:sz w:val="22"/>
          <w:szCs w:val="22"/>
        </w:rPr>
        <w:t>Moreover, from early Buddhism on, lotus flowers were widely applied</w:t>
      </w:r>
    </w:p>
    <w:p>
      <w:pPr>
        <w:pStyle w:val="Normal"/>
        <w:spacing w:before="72" w:after="0"/>
        <w:rPr/>
      </w:pPr>
      <w:r>
        <w:rPr>
          <w:rFonts w:cs="Garamond" w:ascii="Garamond" w:hAnsi="Garamond"/>
          <w:spacing w:val="-2"/>
          <w:sz w:val="22"/>
          <w:szCs w:val="22"/>
        </w:rPr>
        <w:t xml:space="preserve">to halos, for instance, to symbolize the brightness of Buddha's wisdom. However, we should not overlook the fact that as early as the Han dynasty, </w:t>
      </w:r>
      <w:r>
        <w:rPr>
          <w:rFonts w:cs="Garamond" w:ascii="Garamond" w:hAnsi="Garamond"/>
          <w:sz w:val="22"/>
          <w:szCs w:val="22"/>
        </w:rPr>
        <w:t>the lotus flower was often painted on the ceiling of a tomb chamber</w:t>
      </w:r>
    </w:p>
    <w:p>
      <w:pPr>
        <w:pStyle w:val="Normal"/>
        <w:spacing w:before="72" w:after="0"/>
        <w:ind w:end="216" w:hanging="0"/>
        <w:rPr/>
      </w:pPr>
      <w:r>
        <w:rPr>
          <w:rFonts w:cs="Garamond" w:ascii="Garamond" w:hAnsi="Garamond"/>
          <w:spacing w:val="2"/>
          <w:sz w:val="22"/>
          <w:szCs w:val="22"/>
        </w:rPr>
        <w:t xml:space="preserve">to symbolize the celestial body.' Therefore, the widely applied lotus </w:t>
      </w:r>
      <w:r>
        <w:rPr>
          <w:rFonts w:cs="Garamond" w:ascii="Garamond" w:hAnsi="Garamond"/>
          <w:spacing w:val="-5"/>
          <w:sz w:val="22"/>
          <w:szCs w:val="22"/>
        </w:rPr>
        <w:t xml:space="preserve">flower on mirrors seems to be a happy combination of ancient symbolic </w:t>
      </w:r>
      <w:r>
        <w:rPr>
          <w:rFonts w:cs="Garamond" w:ascii="Garamond" w:hAnsi="Garamond"/>
          <w:sz w:val="22"/>
          <w:szCs w:val="22"/>
        </w:rPr>
        <w:t>association and newly popularized Buddhism.</w:t>
      </w:r>
    </w:p>
    <w:p>
      <w:pPr>
        <w:pStyle w:val="Normal"/>
        <w:spacing w:before="72" w:after="0"/>
        <w:ind w:end="144" w:firstLine="432"/>
        <w:rPr/>
      </w:pPr>
      <w:r>
        <w:rPr>
          <w:rFonts w:cs="Garamond" w:ascii="Garamond" w:hAnsi="Garamond"/>
          <w:spacing w:val="-2"/>
          <w:sz w:val="22"/>
          <w:szCs w:val="22"/>
        </w:rPr>
        <w:t xml:space="preserve">Besides the lotus flower, floral motifs on Tang mirrors were often </w:t>
      </w:r>
      <w:r>
        <w:rPr>
          <w:rFonts w:cs="Garamond" w:ascii="Garamond" w:hAnsi="Garamond"/>
          <w:spacing w:val="-5"/>
          <w:sz w:val="22"/>
          <w:szCs w:val="22"/>
        </w:rPr>
        <w:t xml:space="preserve">inspired by sophisticated designs on textiles imported from the Near East </w:t>
      </w:r>
      <w:r>
        <w:rPr>
          <w:rFonts w:cs="Garamond" w:ascii="Garamond" w:hAnsi="Garamond"/>
          <w:spacing w:val="-2"/>
          <w:sz w:val="22"/>
          <w:szCs w:val="22"/>
        </w:rPr>
        <w:t xml:space="preserve">through the Silk Road. With great enthusiasm, Tang emperors demanded </w:t>
      </w:r>
      <w:r>
        <w:rPr>
          <w:rFonts w:cs="Garamond" w:ascii="Garamond" w:hAnsi="Garamond"/>
          <w:spacing w:val="-1"/>
          <w:sz w:val="22"/>
          <w:szCs w:val="22"/>
        </w:rPr>
        <w:t>that scholars in the court prepare meticulous records and studies of the exotic plants, animals, and artifacts brought by foreign envoys.</w:t>
      </w:r>
      <w:r>
        <w:rPr>
          <w:rFonts w:cs="Bookman Old Style" w:ascii="Bookman Old Style" w:hAnsi="Bookman Old Style"/>
          <w:spacing w:val="-1"/>
          <w:w w:val="110"/>
          <w:sz w:val="22"/>
          <w:szCs w:val="22"/>
          <w:vertAlign w:val="superscript"/>
        </w:rPr>
        <w:t>9</w:t>
      </w:r>
      <w:r>
        <w:rPr>
          <w:rFonts w:cs="Garamond" w:ascii="Garamond" w:hAnsi="Garamond"/>
          <w:spacing w:val="-1"/>
          <w:sz w:val="22"/>
          <w:szCs w:val="22"/>
        </w:rPr>
        <w:t xml:space="preserve"> Such </w:t>
      </w:r>
    </w:p>
    <w:p>
      <w:pPr>
        <w:pStyle w:val="Normal"/>
        <w:spacing w:before="72" w:after="0"/>
        <w:ind w:end="144" w:firstLine="432"/>
        <w:rPr/>
      </w:pPr>
      <w:r>
        <w:rPr/>
        <w:drawing>
          <wp:inline distT="0" distB="0" distL="0" distR="0">
            <wp:extent cx="2062480" cy="958215"/>
            <wp:effectExtent l="0" t="0" r="0" b="0"/>
            <wp:docPr id="3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title=""/>
                    <pic:cNvPicPr>
                      <a:picLocks noChangeAspect="1" noChangeArrowheads="1"/>
                    </pic:cNvPicPr>
                  </pic:nvPicPr>
                  <pic:blipFill>
                    <a:blip r:embed="rId1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pPr>
      <w:r>
        <w:rPr>
          <w:rFonts w:cs="Garamond" w:ascii="Garamond" w:hAnsi="Garamond"/>
          <w:spacing w:val="4"/>
          <w:sz w:val="18"/>
          <w:szCs w:val="18"/>
        </w:rPr>
        <w:t xml:space="preserve">Fig. </w:t>
      </w:r>
      <w:r>
        <w:rPr>
          <w:rFonts w:cs="Bookman Old Style" w:ascii="Bookman Old Style" w:hAnsi="Bookman Old Style"/>
          <w:i/>
          <w:iCs/>
          <w:spacing w:val="4"/>
          <w:w w:val="70"/>
          <w:sz w:val="15"/>
          <w:szCs w:val="15"/>
        </w:rPr>
        <w:t xml:space="preserve">5. </w:t>
      </w:r>
      <w:r>
        <w:rPr>
          <w:rFonts w:cs="Garamond" w:ascii="Garamond" w:hAnsi="Garamond"/>
          <w:spacing w:val="4"/>
          <w:sz w:val="18"/>
          <w:szCs w:val="18"/>
        </w:rPr>
        <w:t xml:space="preserve">Lotus-flower-shaped Pedestal, </w:t>
      </w:r>
      <w:r>
        <w:rPr>
          <w:rFonts w:cs="Garamond" w:ascii="Garamond" w:hAnsi="Garamond"/>
          <w:spacing w:val="-3"/>
          <w:sz w:val="18"/>
          <w:szCs w:val="18"/>
        </w:rPr>
        <w:t xml:space="preserve">lacquer and gold-leaf on wood, H. 17 cm. </w:t>
      </w:r>
      <w:r>
        <w:rPr>
          <w:rFonts w:cs="Garamond" w:ascii="Garamond" w:hAnsi="Garamond"/>
          <w:spacing w:val="-2"/>
          <w:sz w:val="18"/>
          <w:szCs w:val="18"/>
        </w:rPr>
        <w:t xml:space="preserve">Shoso-in, Nara. After </w:t>
      </w:r>
      <w:r>
        <w:rPr>
          <w:rFonts w:cs="Verdana" w:ascii="Verdana" w:hAnsi="Verdana"/>
          <w:i/>
          <w:iCs/>
          <w:spacing w:val="-2"/>
          <w:sz w:val="14"/>
          <w:szCs w:val="14"/>
        </w:rPr>
        <w:t xml:space="preserve">Nihon bijutsu zenshtl, </w:t>
      </w:r>
      <w:r>
        <w:rPr>
          <w:rFonts w:cs="Garamond" w:ascii="Garamond" w:hAnsi="Garamond"/>
          <w:spacing w:val="-4"/>
          <w:sz w:val="18"/>
          <w:szCs w:val="18"/>
        </w:rPr>
        <w:t>5: 94, 95•</w:t>
      </w:r>
      <w:r>
        <w:rPr>
          <w:rFonts w:cs="Garamond" w:ascii="Garamond" w:hAnsi="Garamond"/>
          <w:spacing w:val="1"/>
          <w:sz w:val="22"/>
          <w:szCs w:val="22"/>
        </w:rPr>
        <w:t xml:space="preserve">records provided a wide-ranging array of innovative ideas to the delight </w:t>
      </w:r>
      <w:r>
        <w:rPr>
          <w:rFonts w:cs="Garamond" w:ascii="Garamond" w:hAnsi="Garamond"/>
          <w:sz w:val="22"/>
          <w:szCs w:val="22"/>
        </w:rPr>
        <w:t>of the aristocratic society in the capital.</w:t>
      </w:r>
    </w:p>
    <w:p>
      <w:pPr>
        <w:pStyle w:val="Normal"/>
        <w:spacing w:lineRule="auto" w:line="264" w:before="144" w:after="0"/>
        <w:ind w:end="288" w:firstLine="432"/>
        <w:rPr/>
      </w:pPr>
      <w:r>
        <w:rPr>
          <w:rFonts w:cs="Garamond" w:ascii="Garamond" w:hAnsi="Garamond"/>
          <w:spacing w:val="1"/>
          <w:sz w:val="22"/>
          <w:szCs w:val="22"/>
        </w:rPr>
        <w:t xml:space="preserve">The roundel pattern in the center of the Shaso-in mirror with </w:t>
      </w:r>
      <w:r>
        <w:rPr>
          <w:rFonts w:cs="Garamond" w:ascii="Garamond" w:hAnsi="Garamond"/>
          <w:spacing w:val="2"/>
          <w:sz w:val="22"/>
          <w:szCs w:val="22"/>
        </w:rPr>
        <w:t xml:space="preserve">mother-of-pearl inlay (fig. 6) is as splendid as that of a multicolored </w:t>
      </w:r>
      <w:r>
        <w:rPr>
          <w:rFonts w:cs="Garamond" w:ascii="Garamond" w:hAnsi="Garamond"/>
          <w:spacing w:val="-3"/>
          <w:sz w:val="22"/>
          <w:szCs w:val="22"/>
        </w:rPr>
        <w:t xml:space="preserve">rug. Four smaller roundels appear equally spaced in the outer circle. Set </w:t>
      </w:r>
      <w:r>
        <w:rPr>
          <w:rFonts w:cs="Garamond" w:ascii="Garamond" w:hAnsi="Garamond"/>
          <w:sz w:val="22"/>
          <w:szCs w:val="22"/>
        </w:rPr>
        <w:t>against a black lacquer background, mother-of-pearl as well as amber,</w:t>
      </w:r>
    </w:p>
    <w:p>
      <w:pPr>
        <w:pStyle w:val="Normal"/>
        <w:rPr/>
      </w:pPr>
      <w:r>
        <w:rPr>
          <w:rFonts w:cs="Garamond" w:ascii="Garamond" w:hAnsi="Garamond"/>
          <w:spacing w:val="-2"/>
          <w:sz w:val="22"/>
          <w:szCs w:val="22"/>
        </w:rPr>
        <w:t xml:space="preserve">tortoise shell, and rock crystal are employed to compose a fantastic design. </w:t>
      </w:r>
      <w:r>
        <w:rPr>
          <w:rFonts w:cs="Garamond" w:ascii="Garamond" w:hAnsi="Garamond"/>
          <w:spacing w:val="1"/>
          <w:sz w:val="22"/>
          <w:szCs w:val="22"/>
        </w:rPr>
        <w:t>The iridescent brilliance of the mother-of-pearl and the bright colors</w:t>
      </w:r>
    </w:p>
    <w:p>
      <w:pPr>
        <w:pStyle w:val="Normal"/>
        <w:spacing w:before="72" w:after="0"/>
        <w:ind w:end="288" w:hanging="0"/>
        <w:rPr/>
      </w:pPr>
      <w:r>
        <w:rPr>
          <w:rFonts w:cs="Garamond" w:ascii="Garamond" w:hAnsi="Garamond"/>
          <w:spacing w:val="-5"/>
          <w:sz w:val="22"/>
          <w:szCs w:val="22"/>
        </w:rPr>
        <w:t xml:space="preserve">of the stones achieve a glittering effect on the surface, at the same time </w:t>
      </w:r>
      <w:r>
        <w:rPr>
          <w:rFonts w:cs="Garamond" w:ascii="Garamond" w:hAnsi="Garamond"/>
          <w:sz w:val="22"/>
          <w:szCs w:val="22"/>
        </w:rPr>
        <w:t>suggesting volume and mass in their curvilinear forms.</w:t>
      </w:r>
    </w:p>
    <w:p>
      <w:pPr>
        <w:sectPr>
          <w:footerReference w:type="default" r:id="rId12"/>
          <w:type w:val="nextPage"/>
          <w:pgSz w:w="11918" w:h="16854"/>
          <w:pgMar w:left="4247" w:right="1269" w:header="0" w:top="774" w:footer="0" w:bottom="4657" w:gutter="0"/>
          <w:pgNumType w:fmt="decimal"/>
          <w:formProt w:val="false"/>
          <w:textDirection w:val="lrTb"/>
          <w:docGrid w:type="default" w:linePitch="360" w:charSpace="0"/>
        </w:sectPr>
        <w:pStyle w:val="Normal"/>
        <w:spacing w:before="72" w:after="0"/>
        <w:ind w:firstLine="432"/>
        <w:jc w:val="both"/>
        <w:rPr/>
      </w:pPr>
      <w:r>
        <w:rPr>
          <w:rFonts w:cs="Garamond" w:ascii="Garamond" w:hAnsi="Garamond"/>
          <w:sz w:val="22"/>
          <w:szCs w:val="22"/>
        </w:rPr>
        <w:t xml:space="preserve">Another powerful example of floral motifs is seen on the gold and </w:t>
      </w:r>
      <w:r>
        <w:rPr>
          <w:rFonts w:cs="Garamond" w:ascii="Garamond" w:hAnsi="Garamond"/>
          <w:spacing w:val="-1"/>
          <w:sz w:val="22"/>
          <w:szCs w:val="22"/>
        </w:rPr>
        <w:t xml:space="preserve">glass-backed cloisonné mirror (fig. 7). Of shiny silver on the front, on the back are three overlapping layers of six-lobed lotus-flower patterns in gold </w:t>
      </w:r>
      <w:r>
        <w:rPr/>
        <w:t>and cloisonné enamels.The striking lotus petals are covered with patterns and stripes in relief in green, black, and brown, imitating the taste of</w:t>
      </w:r>
    </w:p>
    <w:tbl>
      <w:tblPr>
        <w:tblW w:w="6659" w:type="dxa"/>
        <w:jc w:val="start"/>
        <w:tblInd w:w="3076" w:type="dxa"/>
        <w:tblBorders/>
        <w:tblCellMar>
          <w:top w:w="0" w:type="dxa"/>
          <w:start w:w="0" w:type="dxa"/>
          <w:bottom w:w="0" w:type="dxa"/>
          <w:end w:w="0" w:type="dxa"/>
        </w:tblCellMar>
      </w:tblPr>
      <w:tblGrid>
        <w:gridCol w:w="35"/>
        <w:gridCol w:w="6624"/>
      </w:tblGrid>
      <w:tr>
        <w:trPr>
          <w:trHeight w:val="7199" w:hRule="exact"/>
        </w:trPr>
        <w:tc>
          <w:tcPr>
            <w:tcW w:w="35" w:type="dxa"/>
            <w:tcBorders/>
            <w:shd w:fill="auto" w:val="clear"/>
          </w:tcPr>
          <w:p>
            <w:pPr>
              <w:pStyle w:val="Normal"/>
              <w:spacing w:before="1404" w:after="0"/>
              <w:ind w:end="468" w:hanging="0"/>
              <w:jc w:val="both"/>
              <w:rPr>
                <w:rFonts w:ascii="Garamond" w:hAnsi="Garamond" w:cs="Garamond"/>
                <w:spacing w:val="-2"/>
                <w:sz w:val="19"/>
                <w:szCs w:val="19"/>
              </w:rPr>
            </w:pPr>
            <w:r>
              <w:rPr>
                <w:rFonts w:cs="Garamond" w:ascii="Garamond" w:hAnsi="Garamond"/>
                <w:spacing w:val="-2"/>
                <w:sz w:val="19"/>
                <w:szCs w:val="19"/>
              </w:rPr>
              <w:t>.</w:t>
            </w:r>
          </w:p>
        </w:tc>
        <w:tc>
          <w:tcPr>
            <w:tcW w:w="6624" w:type="dxa"/>
            <w:tcBorders/>
            <w:shd w:fill="auto" w:val="clear"/>
          </w:tcPr>
          <w:p>
            <w:pPr>
              <w:pStyle w:val="Normal"/>
              <w:spacing w:before="2" w:after="72"/>
              <w:ind w:end="63" w:hanging="0"/>
              <w:jc w:val="center"/>
              <w:rPr/>
            </w:pPr>
            <w:r>
              <w:rPr/>
              <w:drawing>
                <wp:inline distT="0" distB="0" distL="0" distR="0">
                  <wp:extent cx="4163695" cy="4273550"/>
                  <wp:effectExtent l="0" t="0" r="0" b="0"/>
                  <wp:docPr id="3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title=""/>
                          <pic:cNvPicPr>
                            <a:picLocks noChangeAspect="1" noChangeArrowheads="1"/>
                          </pic:cNvPicPr>
                        </pic:nvPicPr>
                        <pic:blipFill>
                          <a:blip r:embed="rId13"/>
                          <a:srcRect l="-8" t="-8" r="-8" b="-8"/>
                          <a:stretch>
                            <a:fillRect/>
                          </a:stretch>
                        </pic:blipFill>
                        <pic:spPr bwMode="auto">
                          <a:xfrm>
                            <a:off x="0" y="0"/>
                            <a:ext cx="4163695" cy="4273550"/>
                          </a:xfrm>
                          <a:prstGeom prst="rect">
                            <a:avLst/>
                          </a:prstGeom>
                        </pic:spPr>
                      </pic:pic>
                    </a:graphicData>
                  </a:graphic>
                </wp:inline>
              </w:drawing>
            </w:r>
            <w:r>
              <w:rPr>
                <w:rFonts w:eastAsia="Garamond" w:cs="Garamond" w:ascii="Garamond" w:hAnsi="Garamond"/>
                <w:spacing w:val="-6"/>
                <w:sz w:val="19"/>
                <w:szCs w:val="19"/>
              </w:rPr>
              <w:t xml:space="preserve"> </w:t>
            </w:r>
            <w:r>
              <w:rPr>
                <w:rFonts w:cs="Garamond" w:ascii="Garamond" w:hAnsi="Garamond"/>
                <w:spacing w:val="-6"/>
                <w:sz w:val="19"/>
                <w:szCs w:val="19"/>
              </w:rPr>
              <w:t xml:space="preserve">Fig. 6. Mirror, mother-of-pearl inlay, </w:t>
            </w:r>
            <w:r>
              <w:rPr>
                <w:rFonts w:cs="Garamond" w:ascii="Garamond" w:hAnsi="Garamond"/>
                <w:spacing w:val="-8"/>
                <w:sz w:val="19"/>
                <w:szCs w:val="19"/>
              </w:rPr>
              <w:t xml:space="preserve">Diam. 27.2 cm. Shoso-in, Nara. After </w:t>
            </w:r>
            <w:r>
              <w:rPr>
                <w:i/>
                <w:iCs/>
                <w:spacing w:val="-2"/>
                <w:sz w:val="17"/>
                <w:szCs w:val="17"/>
              </w:rPr>
              <w:t xml:space="preserve">Nihon bijutsu zenshu, 5: </w:t>
            </w:r>
            <w:r>
              <w:rPr>
                <w:rFonts w:cs="Garamond" w:ascii="Garamond" w:hAnsi="Garamond"/>
                <w:spacing w:val="-2"/>
                <w:sz w:val="19"/>
                <w:szCs w:val="19"/>
              </w:rPr>
              <w:t>49, so</w:t>
            </w:r>
          </w:p>
        </w:tc>
      </w:tr>
    </w:tbl>
    <w:p>
      <w:pPr>
        <w:pStyle w:val="Normal"/>
        <w:spacing w:lineRule="exact" w:line="288" w:before="853" w:after="0"/>
        <w:rPr>
          <w:sz w:val="20"/>
        </w:rPr>
      </w:pPr>
      <w:r>
        <w:rPr>
          <w:sz w:val="20"/>
        </w:rPr>
      </w:r>
    </w:p>
    <w:p>
      <w:pPr>
        <w:pStyle w:val="Normal"/>
        <w:jc w:val="both"/>
        <w:rPr>
          <w:rFonts w:ascii="Garamond" w:hAnsi="Garamond" w:cs="Garamond"/>
          <w:spacing w:val="-7"/>
          <w:sz w:val="17"/>
          <w:szCs w:val="17"/>
        </w:rPr>
      </w:pPr>
      <w:r>
        <w:rPr>
          <w:rFonts w:cs="Garamond" w:ascii="Garamond" w:hAnsi="Garamond"/>
          <w:spacing w:val="-7"/>
          <w:sz w:val="17"/>
          <w:szCs w:val="17"/>
        </w:rPr>
      </w:r>
    </w:p>
    <w:p>
      <w:pPr>
        <w:pStyle w:val="Normal"/>
        <w:spacing w:lineRule="exact" w:line="288" w:before="853" w:after="0"/>
        <w:rPr>
          <w:rFonts w:ascii="Garamond" w:hAnsi="Garamond" w:cs="Garamond"/>
          <w:spacing w:val="-7"/>
          <w:sz w:val="17"/>
          <w:szCs w:val="17"/>
        </w:rPr>
      </w:pPr>
      <w:r>
        <w:rPr>
          <w:rFonts w:cs="Garamond" w:ascii="Garamond" w:hAnsi="Garamond"/>
          <w:spacing w:val="-7"/>
          <w:sz w:val="17"/>
          <w:szCs w:val="17"/>
        </w:rPr>
      </w:r>
    </w:p>
    <w:p>
      <w:pPr>
        <w:pStyle w:val="Normal"/>
        <w:numPr>
          <w:ilvl w:val="0"/>
          <w:numId w:val="0"/>
        </w:numPr>
        <w:rPr>
          <w:sz w:val="20"/>
        </w:rPr>
      </w:pPr>
      <w:r>
        <w:rPr>
          <w:sz w:val="20"/>
        </w:rPr>
      </w:r>
    </w:p>
    <w:p>
      <w:pPr>
        <w:sectPr>
          <w:footerReference w:type="default" r:id="rId14"/>
          <w:type w:val="nextPage"/>
          <w:pgSz w:w="11918" w:h="16854"/>
          <w:pgMar w:left="1451" w:right="687" w:header="0" w:top="856" w:footer="0" w:bottom="868" w:gutter="0"/>
          <w:pgNumType w:fmt="decimal"/>
          <w:formProt w:val="false"/>
          <w:textDirection w:val="lrTb"/>
          <w:docGrid w:type="default" w:linePitch="360" w:charSpace="0"/>
        </w:sectPr>
      </w:pPr>
    </w:p>
    <w:p>
      <w:pPr>
        <w:pStyle w:val="Normal"/>
        <w:jc w:val="both"/>
        <w:rPr>
          <w:rFonts w:ascii="Garamond" w:hAnsi="Garamond" w:cs="Garamond"/>
          <w:sz w:val="22"/>
          <w:szCs w:val="22"/>
          <w:lang w:val="en-US" w:eastAsia="en-US"/>
        </w:rPr>
      </w:pPr>
      <w:r>
        <w:rPr>
          <w:rFonts w:cs="Garamond" w:ascii="Garamond" w:hAnsi="Garamond"/>
          <w:sz w:val="22"/>
          <w:szCs w:val="22"/>
          <w:lang w:val="en-US" w:eastAsia="en-US"/>
        </w:rPr>
      </w:r>
      <w:r>
        <mc:AlternateContent>
          <mc:Choice Requires="wps">
            <w:drawing>
              <wp:anchor behindDoc="0" distT="0" distB="0" distL="0" distR="0" simplePos="0" locked="0" layoutInCell="1" allowOverlap="1" relativeHeight="42">
                <wp:simplePos x="0" y="0"/>
                <wp:positionH relativeFrom="page">
                  <wp:posOffset>733425</wp:posOffset>
                </wp:positionH>
                <wp:positionV relativeFrom="page">
                  <wp:posOffset>567690</wp:posOffset>
                </wp:positionV>
                <wp:extent cx="6084570" cy="3227705"/>
                <wp:effectExtent l="0" t="0" r="0" b="0"/>
                <wp:wrapSquare wrapText="bothSides"/>
                <wp:docPr id="37" name="Frame4"/>
                <a:graphic xmlns:a="http://schemas.openxmlformats.org/drawingml/2006/main">
                  <a:graphicData uri="http://schemas.microsoft.com/office/word/2010/wordprocessingShape">
                    <wps:wsp>
                      <wps:cNvSpPr txBox="1"/>
                      <wps:spPr>
                        <a:xfrm>
                          <a:off x="0" y="0"/>
                          <a:ext cx="6084570" cy="3227705"/>
                        </a:xfrm>
                        <a:prstGeom prst="rect"/>
                        <a:solidFill>
                          <a:srgbClr val="FFFFFF">
                            <a:alpha val="0"/>
                          </a:srgbClr>
                        </a:solidFill>
                      </wps:spPr>
                      <wps:txbx>
                        <w:txbxContent>
                          <w:tbl>
                            <w:tblPr>
                              <w:tblW w:w="9605" w:type="dxa"/>
                              <w:jc w:val="start"/>
                              <w:tblInd w:w="0" w:type="dxa"/>
                              <w:tblBorders/>
                              <w:tblCellMar>
                                <w:top w:w="0" w:type="dxa"/>
                                <w:start w:w="0" w:type="dxa"/>
                                <w:bottom w:w="0" w:type="dxa"/>
                                <w:end w:w="0" w:type="dxa"/>
                              </w:tblCellMar>
                            </w:tblPr>
                            <w:tblGrid>
                              <w:gridCol w:w="3221"/>
                              <w:gridCol w:w="6384"/>
                            </w:tblGrid>
                            <w:tr>
                              <w:trPr>
                                <w:trHeight w:val="5011" w:hRule="exact"/>
                              </w:trPr>
                              <w:tc>
                                <w:tcPr>
                                  <w:tcW w:w="3221" w:type="dxa"/>
                                  <w:tcBorders/>
                                  <w:shd w:fill="auto" w:val="clear"/>
                                </w:tcPr>
                                <w:p>
                                  <w:pPr>
                                    <w:pStyle w:val="Normal"/>
                                    <w:ind w:end="396" w:hanging="0"/>
                                    <w:rPr/>
                                  </w:pPr>
                                  <w:r>
                                    <w:rPr>
                                      <w:rFonts w:cs="Garamond" w:ascii="Garamond" w:hAnsi="Garamond"/>
                                      <w:sz w:val="19"/>
                                      <w:szCs w:val="19"/>
                                    </w:rPr>
                                    <w:t xml:space="preserve">Fig. 8. Mirror </w:t>
                                  </w:r>
                                  <w:r>
                                    <w:rPr>
                                      <w:rFonts w:cs="Garamond" w:ascii="Garamond" w:hAnsi="Garamond"/>
                                      <w:i/>
                                      <w:iCs/>
                                      <w:sz w:val="19"/>
                                      <w:szCs w:val="19"/>
                                    </w:rPr>
                                    <w:t xml:space="preserve">with Pingtuo (Heidatsu) </w:t>
                                  </w:r>
                                  <w:r>
                                    <w:rPr>
                                      <w:rFonts w:cs="Garamond" w:ascii="Garamond" w:hAnsi="Garamond"/>
                                      <w:spacing w:val="-6"/>
                                      <w:sz w:val="19"/>
                                      <w:szCs w:val="19"/>
                                    </w:rPr>
                                    <w:t xml:space="preserve">Decoration, 8th century, Diam. 19.2 cm. </w:t>
                                  </w:r>
                                  <w:r>
                                    <w:rPr>
                                      <w:rFonts w:cs="Garamond" w:ascii="Garamond" w:hAnsi="Garamond"/>
                                      <w:spacing w:val="-5"/>
                                      <w:sz w:val="19"/>
                                      <w:szCs w:val="19"/>
                                    </w:rPr>
                                    <w:t>The Cleveland Museum of Art, Leonard</w:t>
                                  </w:r>
                                  <w:r>
                                    <w:rPr>
                                      <w:rFonts w:cs="Garamond" w:ascii="Garamond" w:hAnsi="Garamond"/>
                                      <w:spacing w:val="-6"/>
                                      <w:sz w:val="19"/>
                                      <w:szCs w:val="19"/>
                                    </w:rPr>
                                    <w:t xml:space="preserve">. Hanna Jr. Fund, </w:t>
                                  </w:r>
                                  <w:r>
                                    <w:rPr>
                                      <w:rFonts w:cs="Bookman Old Style" w:ascii="Bookman Old Style" w:hAnsi="Bookman Old Style"/>
                                      <w:spacing w:val="-6"/>
                                      <w:w w:val="120"/>
                                      <w:sz w:val="19"/>
                                      <w:szCs w:val="19"/>
                                      <w:vertAlign w:val="superscript"/>
                                    </w:rPr>
                                    <w:t>1</w:t>
                                  </w:r>
                                  <w:r>
                                    <w:rPr>
                                      <w:rFonts w:cs="Garamond" w:ascii="Garamond" w:hAnsi="Garamond"/>
                                      <w:spacing w:val="-6"/>
                                      <w:sz w:val="19"/>
                                      <w:szCs w:val="19"/>
                                    </w:rPr>
                                    <w:t>973.74.</w:t>
                                  </w:r>
                                </w:p>
                              </w:tc>
                              <w:tc>
                                <w:tcPr>
                                  <w:tcW w:w="6384" w:type="dxa"/>
                                  <w:tcBorders/>
                                  <w:shd w:fill="auto" w:val="clear"/>
                                </w:tcPr>
                                <w:p>
                                  <w:pPr>
                                    <w:pStyle w:val="Normal"/>
                                    <w:spacing w:before="10" w:after="24"/>
                                    <w:ind w:end="1407" w:hanging="0"/>
                                    <w:rPr/>
                                  </w:pPr>
                                  <w:r>
                                    <w:rPr/>
                                    <w:drawing>
                                      <wp:inline distT="0" distB="0" distL="0" distR="0">
                                        <wp:extent cx="3157855" cy="3157855"/>
                                        <wp:effectExtent l="0" t="0" r="0" b="0"/>
                                        <wp:docPr id="3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title=""/>
                                                <pic:cNvPicPr>
                                                  <a:picLocks noChangeAspect="1" noChangeArrowheads="1"/>
                                                </pic:cNvPicPr>
                                              </pic:nvPicPr>
                                              <pic:blipFill>
                                                <a:blip r:embed="rId15"/>
                                                <a:srcRect l="-11" t="-11" r="-11" b="-11"/>
                                                <a:stretch>
                                                  <a:fillRect/>
                                                </a:stretch>
                                              </pic:blipFill>
                                              <pic:spPr bwMode="auto">
                                                <a:xfrm>
                                                  <a:off x="0" y="0"/>
                                                  <a:ext cx="3157855" cy="3157855"/>
                                                </a:xfrm>
                                                <a:prstGeom prst="rect">
                                                  <a:avLst/>
                                                </a:prstGeom>
                                              </pic:spPr>
                                            </pic:pic>
                                          </a:graphicData>
                                        </a:graphic>
                                      </wp:inline>
                                    </w:drawing>
                                  </w:r>
                                </w:p>
                              </w:tc>
                            </w:tr>
                          </w:tbl>
                          <w:p>
                            <w:pPr>
                              <w:pStyle w:val="Normal"/>
                              <w:spacing w:lineRule="exact" w:line="20" w:before="0" w:after="52"/>
                              <w:rPr/>
                            </w:pPr>
                            <w:r>
                              <w:rPr/>
                            </w:r>
                          </w:p>
                        </w:txbxContent>
                      </wps:txbx>
                      <wps:bodyPr anchor="t" lIns="635" tIns="635" rIns="635" bIns="635">
                        <a:noAutofit/>
                      </wps:bodyPr>
                    </wps:wsp>
                  </a:graphicData>
                </a:graphic>
              </wp:anchor>
            </w:drawing>
          </mc:Choice>
          <mc:Fallback>
            <w:pict>
              <v:rect fillcolor="#FFFFFF" style="position:absolute;rotation:0;width:479.1pt;height:254.15pt;mso-wrap-distance-left:0pt;mso-wrap-distance-right:0pt;mso-wrap-distance-top:0pt;mso-wrap-distance-bottom:0pt;margin-top:44.7pt;mso-position-vertical-relative:page;margin-left:57.75pt;mso-position-horizontal-relative:page">
                <v:fill opacity="0f"/>
                <v:textbox inset="0.000694444444444444in,0.000694444444444444in,0.000694444444444444in,0.000694444444444444in">
                  <w:txbxContent>
                    <w:tbl>
                      <w:tblPr>
                        <w:tblW w:w="9605" w:type="dxa"/>
                        <w:jc w:val="start"/>
                        <w:tblInd w:w="0" w:type="dxa"/>
                        <w:tblBorders/>
                        <w:tblCellMar>
                          <w:top w:w="0" w:type="dxa"/>
                          <w:start w:w="0" w:type="dxa"/>
                          <w:bottom w:w="0" w:type="dxa"/>
                          <w:end w:w="0" w:type="dxa"/>
                        </w:tblCellMar>
                      </w:tblPr>
                      <w:tblGrid>
                        <w:gridCol w:w="3221"/>
                        <w:gridCol w:w="6384"/>
                      </w:tblGrid>
                      <w:tr>
                        <w:trPr>
                          <w:trHeight w:val="5011" w:hRule="exact"/>
                        </w:trPr>
                        <w:tc>
                          <w:tcPr>
                            <w:tcW w:w="3221" w:type="dxa"/>
                            <w:tcBorders/>
                            <w:shd w:fill="auto" w:val="clear"/>
                          </w:tcPr>
                          <w:p>
                            <w:pPr>
                              <w:pStyle w:val="Normal"/>
                              <w:ind w:end="396" w:hanging="0"/>
                              <w:rPr/>
                            </w:pPr>
                            <w:r>
                              <w:rPr>
                                <w:rFonts w:cs="Garamond" w:ascii="Garamond" w:hAnsi="Garamond"/>
                                <w:sz w:val="19"/>
                                <w:szCs w:val="19"/>
                              </w:rPr>
                              <w:t xml:space="preserve">Fig. 8. Mirror </w:t>
                            </w:r>
                            <w:r>
                              <w:rPr>
                                <w:rFonts w:cs="Garamond" w:ascii="Garamond" w:hAnsi="Garamond"/>
                                <w:i/>
                                <w:iCs/>
                                <w:sz w:val="19"/>
                                <w:szCs w:val="19"/>
                              </w:rPr>
                              <w:t xml:space="preserve">with Pingtuo (Heidatsu) </w:t>
                            </w:r>
                            <w:r>
                              <w:rPr>
                                <w:rFonts w:cs="Garamond" w:ascii="Garamond" w:hAnsi="Garamond"/>
                                <w:spacing w:val="-6"/>
                                <w:sz w:val="19"/>
                                <w:szCs w:val="19"/>
                              </w:rPr>
                              <w:t xml:space="preserve">Decoration, 8th century, Diam. 19.2 cm. </w:t>
                            </w:r>
                            <w:r>
                              <w:rPr>
                                <w:rFonts w:cs="Garamond" w:ascii="Garamond" w:hAnsi="Garamond"/>
                                <w:spacing w:val="-5"/>
                                <w:sz w:val="19"/>
                                <w:szCs w:val="19"/>
                              </w:rPr>
                              <w:t>The Cleveland Museum of Art, Leonard</w:t>
                            </w:r>
                            <w:r>
                              <w:rPr>
                                <w:rFonts w:cs="Garamond" w:ascii="Garamond" w:hAnsi="Garamond"/>
                                <w:spacing w:val="-6"/>
                                <w:sz w:val="19"/>
                                <w:szCs w:val="19"/>
                              </w:rPr>
                              <w:t xml:space="preserve">. Hanna Jr. Fund, </w:t>
                            </w:r>
                            <w:r>
                              <w:rPr>
                                <w:rFonts w:cs="Bookman Old Style" w:ascii="Bookman Old Style" w:hAnsi="Bookman Old Style"/>
                                <w:spacing w:val="-6"/>
                                <w:w w:val="120"/>
                                <w:sz w:val="19"/>
                                <w:szCs w:val="19"/>
                                <w:vertAlign w:val="superscript"/>
                              </w:rPr>
                              <w:t>1</w:t>
                            </w:r>
                            <w:r>
                              <w:rPr>
                                <w:rFonts w:cs="Garamond" w:ascii="Garamond" w:hAnsi="Garamond"/>
                                <w:spacing w:val="-6"/>
                                <w:sz w:val="19"/>
                                <w:szCs w:val="19"/>
                              </w:rPr>
                              <w:t>973.74.</w:t>
                            </w:r>
                          </w:p>
                        </w:tc>
                        <w:tc>
                          <w:tcPr>
                            <w:tcW w:w="6384" w:type="dxa"/>
                            <w:tcBorders/>
                            <w:shd w:fill="auto" w:val="clear"/>
                          </w:tcPr>
                          <w:p>
                            <w:pPr>
                              <w:pStyle w:val="Normal"/>
                              <w:spacing w:before="10" w:after="24"/>
                              <w:ind w:end="1407" w:hanging="0"/>
                              <w:rPr/>
                            </w:pPr>
                            <w:r>
                              <w:rPr/>
                              <w:drawing>
                                <wp:inline distT="0" distB="0" distL="0" distR="0">
                                  <wp:extent cx="3157855" cy="3157855"/>
                                  <wp:effectExtent l="0" t="0" r="0" b="0"/>
                                  <wp:docPr id="3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descr="" title=""/>
                                          <pic:cNvPicPr>
                                            <a:picLocks noChangeAspect="1" noChangeArrowheads="1"/>
                                          </pic:cNvPicPr>
                                        </pic:nvPicPr>
                                        <pic:blipFill>
                                          <a:blip r:embed="rId15"/>
                                          <a:srcRect l="-11" t="-11" r="-11" b="-11"/>
                                          <a:stretch>
                                            <a:fillRect/>
                                          </a:stretch>
                                        </pic:blipFill>
                                        <pic:spPr bwMode="auto">
                                          <a:xfrm>
                                            <a:off x="0" y="0"/>
                                            <a:ext cx="3157855" cy="3157855"/>
                                          </a:xfrm>
                                          <a:prstGeom prst="rect">
                                            <a:avLst/>
                                          </a:prstGeom>
                                        </pic:spPr>
                                      </pic:pic>
                                    </a:graphicData>
                                  </a:graphic>
                                </wp:inline>
                              </w:drawing>
                            </w:r>
                          </w:p>
                        </w:tc>
                      </w:tr>
                    </w:tbl>
                    <w:p>
                      <w:pPr>
                        <w:pStyle w:val="Normal"/>
                        <w:spacing w:lineRule="exact" w:line="20" w:before="0" w:after="52"/>
                        <w:rPr/>
                      </w:pPr>
                      <w:r>
                        <w:rPr/>
                      </w:r>
                    </w:p>
                  </w:txbxContent>
                </v:textbox>
                <w10:wrap type="square"/>
              </v:rect>
            </w:pict>
          </mc:Fallback>
        </mc:AlternateContent>
      </w:r>
    </w:p>
    <w:p>
      <w:pPr>
        <w:pStyle w:val="Normal"/>
        <w:spacing w:lineRule="auto" w:line="208" w:before="324" w:after="0"/>
        <w:rPr>
          <w:i/>
          <w:i/>
          <w:iCs/>
          <w:spacing w:val="-10"/>
          <w:sz w:val="21"/>
          <w:szCs w:val="21"/>
        </w:rPr>
      </w:pPr>
      <w:r>
        <w:rPr>
          <w:i/>
          <w:iCs/>
          <w:spacing w:val="-10"/>
          <w:sz w:val="21"/>
          <w:szCs w:val="21"/>
        </w:rPr>
        <w:t>Birds and Flowers</w:t>
      </w:r>
    </w:p>
    <w:p>
      <w:pPr>
        <w:pStyle w:val="Normal"/>
        <w:spacing w:before="72" w:after="0"/>
        <w:ind w:end="144" w:hanging="0"/>
        <w:rPr/>
      </w:pPr>
      <w:r>
        <w:rPr>
          <w:rFonts w:cs="Garamond" w:ascii="Garamond" w:hAnsi="Garamond"/>
          <w:spacing w:val="2"/>
          <w:sz w:val="22"/>
          <w:szCs w:val="22"/>
        </w:rPr>
        <w:t xml:space="preserve">Bird-and-flower motifs, especially that of a bird holding a flowering </w:t>
      </w:r>
      <w:r>
        <w:rPr>
          <w:rFonts w:cs="Garamond" w:ascii="Garamond" w:hAnsi="Garamond"/>
          <w:spacing w:val="-1"/>
          <w:sz w:val="22"/>
          <w:szCs w:val="22"/>
        </w:rPr>
        <w:t xml:space="preserve">branch in its beak, are considered auspicious signs in Chinese tradition. </w:t>
      </w:r>
      <w:r>
        <w:rPr>
          <w:rFonts w:cs="Garamond" w:ascii="Garamond" w:hAnsi="Garamond"/>
          <w:spacing w:val="1"/>
          <w:sz w:val="22"/>
          <w:szCs w:val="22"/>
        </w:rPr>
        <w:t xml:space="preserve">Floral patterns and blossoms take on an almost metaphysical quality in </w:t>
      </w:r>
      <w:r>
        <w:rPr>
          <w:rFonts w:cs="Garamond" w:ascii="Garamond" w:hAnsi="Garamond"/>
          <w:sz w:val="22"/>
          <w:szCs w:val="22"/>
        </w:rPr>
        <w:t xml:space="preserve">the lively design of an eight-lobed mirror backed with gold and silver in </w:t>
      </w:r>
      <w:r>
        <w:rPr>
          <w:rFonts w:cs="Garamond" w:ascii="Garamond" w:hAnsi="Garamond"/>
          <w:spacing w:val="-2"/>
          <w:sz w:val="22"/>
          <w:szCs w:val="22"/>
        </w:rPr>
        <w:t xml:space="preserve">the Cleveland Museum of Art collection and a square one with a similar </w:t>
      </w:r>
      <w:r>
        <w:rPr>
          <w:rFonts w:cs="Garamond" w:ascii="Garamond" w:hAnsi="Garamond"/>
          <w:spacing w:val="-7"/>
          <w:sz w:val="19"/>
          <w:szCs w:val="19"/>
        </w:rPr>
        <w:t xml:space="preserve">Fig. 7. Mirror, silver with gold and glass </w:t>
      </w:r>
      <w:r>
        <w:rPr>
          <w:rFonts w:cs="Garamond" w:ascii="Garamond" w:hAnsi="Garamond"/>
          <w:spacing w:val="-8"/>
          <w:sz w:val="19"/>
          <w:szCs w:val="19"/>
        </w:rPr>
        <w:t xml:space="preserve">(cloisonné enamel) inlay, Diam. 18.5 cm. </w:t>
      </w:r>
      <w:r>
        <w:rPr>
          <w:rFonts w:cs="Garamond" w:ascii="Garamond" w:hAnsi="Garamond"/>
          <w:spacing w:val="-4"/>
          <w:sz w:val="19"/>
          <w:szCs w:val="19"/>
        </w:rPr>
        <w:t xml:space="preserve">Shoso-in, Nara. After </w:t>
      </w:r>
      <w:r>
        <w:rPr>
          <w:i/>
          <w:iCs/>
          <w:spacing w:val="-4"/>
          <w:sz w:val="17"/>
          <w:szCs w:val="17"/>
        </w:rPr>
        <w:t xml:space="preserve">Nihon bijutsu zensha, </w:t>
      </w:r>
      <w:r>
        <w:rPr>
          <w:rFonts w:cs="Garamond" w:ascii="Garamond" w:hAnsi="Garamond"/>
          <w:spacing w:val="-7"/>
          <w:sz w:val="17"/>
          <w:szCs w:val="17"/>
        </w:rPr>
        <w:t>5: 51.</w:t>
      </w:r>
      <w:r>
        <w:rPr>
          <w:rFonts w:cs="Garamond" w:ascii="Garamond" w:hAnsi="Garamond"/>
          <w:spacing w:val="1"/>
          <w:sz w:val="22"/>
          <w:szCs w:val="22"/>
        </w:rPr>
        <w:t>t</w:t>
      </w:r>
      <w:r>
        <w:rPr>
          <w:rFonts w:cs="Garamond" w:ascii="Garamond" w:hAnsi="Garamond"/>
          <w:spacing w:val="1"/>
          <w:sz w:val="22"/>
          <w:szCs w:val="22"/>
        </w:rPr>
        <w:t xml:space="preserve">hree-color pottery popular at the time. The distinct sculptural quality sets </w:t>
      </w:r>
      <w:r>
        <w:rPr>
          <w:rFonts w:cs="Garamond" w:ascii="Garamond" w:hAnsi="Garamond"/>
          <w:spacing w:val="-4"/>
          <w:sz w:val="22"/>
          <w:szCs w:val="22"/>
        </w:rPr>
        <w:t xml:space="preserve">it apart from other Tang mirrors, and it is unique in every aspect of design, </w:t>
      </w:r>
      <w:r>
        <w:rPr>
          <w:rFonts w:cs="Garamond" w:ascii="Garamond" w:hAnsi="Garamond"/>
          <w:sz w:val="22"/>
          <w:szCs w:val="22"/>
        </w:rPr>
        <w:t>material, and technique.</w:t>
      </w:r>
      <w:r>
        <mc:AlternateContent>
          <mc:Choice Requires="wps">
            <w:drawing>
              <wp:anchor behindDoc="1" distT="0" distB="0" distL="0" distR="0" simplePos="0" locked="0" layoutInCell="1" allowOverlap="1" relativeHeight="56">
                <wp:simplePos x="0" y="0"/>
                <wp:positionH relativeFrom="page">
                  <wp:posOffset>727710</wp:posOffset>
                </wp:positionH>
                <wp:positionV relativeFrom="page">
                  <wp:posOffset>3795395</wp:posOffset>
                </wp:positionV>
                <wp:extent cx="1844040" cy="2725420"/>
                <wp:effectExtent l="0" t="0" r="0" b="0"/>
                <wp:wrapSquare wrapText="bothSides"/>
                <wp:docPr id="40" name="Frame5"/>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4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title=""/>
                                          <pic:cNvPicPr>
                                            <a:picLocks noChangeAspect="1" noChangeArrowheads="1"/>
                                          </pic:cNvPicPr>
                                        </pic:nvPicPr>
                                        <pic:blipFill>
                                          <a:blip r:embed="rId16"/>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4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title=""/>
                                    <pic:cNvPicPr>
                                      <a:picLocks noChangeAspect="1" noChangeArrowheads="1"/>
                                    </pic:cNvPicPr>
                                  </pic:nvPicPr>
                                  <pic:blipFill>
                                    <a:blip r:embed="rId16"/>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rFonts w:ascii="Garamond" w:hAnsi="Garamond" w:cs="Garamond"/>
          <w:sz w:val="22"/>
          <w:szCs w:val="22"/>
        </w:rPr>
      </w:pPr>
      <w:r>
        <w:rPr>
          <w:rFonts w:cs="Garamond" w:ascii="Garamond" w:hAnsi="Garamond"/>
          <w:sz w:val="22"/>
          <w:szCs w:val="22"/>
        </w:rPr>
      </w:r>
    </w:p>
    <w:p>
      <w:pPr>
        <w:pStyle w:val="Normal"/>
        <w:spacing w:before="72" w:after="0"/>
        <w:ind w:end="144" w:hanging="0"/>
        <w:rPr/>
      </w:pPr>
      <w:r>
        <w:rPr>
          <w:rFonts w:cs="Garamond" w:ascii="Garamond" w:hAnsi="Garamond"/>
          <w:spacing w:val="-2"/>
          <w:sz w:val="22"/>
          <w:szCs w:val="22"/>
        </w:rPr>
        <w:t xml:space="preserve">design in the Asia Society collection in New York (figs. 8, 9).A special technique of decoration, called </w:t>
      </w:r>
      <w:r>
        <w:rPr>
          <w:i/>
          <w:iCs/>
          <w:spacing w:val="-2"/>
          <w:sz w:val="21"/>
          <w:szCs w:val="21"/>
        </w:rPr>
        <w:t xml:space="preserve">pingtuo </w:t>
      </w:r>
      <w:r>
        <w:rPr>
          <w:rFonts w:cs="Garamond" w:ascii="Garamond" w:hAnsi="Garamond"/>
          <w:spacing w:val="-2"/>
          <w:sz w:val="22"/>
          <w:szCs w:val="22"/>
        </w:rPr>
        <w:t xml:space="preserve">in Chinese or </w:t>
      </w:r>
      <w:r>
        <w:rPr>
          <w:i/>
          <w:iCs/>
          <w:spacing w:val="-2"/>
          <w:sz w:val="21"/>
          <w:szCs w:val="21"/>
        </w:rPr>
        <w:t xml:space="preserve">heidatsu </w:t>
      </w:r>
      <w:r>
        <w:rPr>
          <w:rFonts w:cs="Garamond" w:ascii="Garamond" w:hAnsi="Garamond"/>
          <w:spacing w:val="-2"/>
          <w:sz w:val="22"/>
          <w:szCs w:val="22"/>
        </w:rPr>
        <w:t xml:space="preserve">in Japanese, </w:t>
      </w:r>
      <w:r>
        <w:rPr>
          <w:rFonts w:cs="Garamond" w:ascii="Garamond" w:hAnsi="Garamond"/>
          <w:spacing w:val="-1"/>
          <w:sz w:val="22"/>
          <w:szCs w:val="22"/>
        </w:rPr>
        <w:t>is applied to this type of mirror. Delicate designs of birds, flowers cut</w:t>
      </w:r>
    </w:p>
    <w:p>
      <w:pPr>
        <w:pStyle w:val="Normal"/>
        <w:spacing w:before="144" w:after="0"/>
        <w:ind w:end="360" w:hanging="0"/>
        <w:rPr/>
      </w:pPr>
      <w:r>
        <w:rPr>
          <w:rFonts w:cs="Garamond" w:ascii="Garamond" w:hAnsi="Garamond"/>
          <w:spacing w:val="-1"/>
          <w:sz w:val="22"/>
          <w:szCs w:val="22"/>
        </w:rPr>
        <w:t xml:space="preserve">in gold, and silver leaves are embedded in a lacquered surface. Against </w:t>
      </w:r>
      <w:r>
        <w:rPr>
          <w:rFonts w:cs="Garamond" w:ascii="Garamond" w:hAnsi="Garamond"/>
          <w:spacing w:val="-2"/>
          <w:sz w:val="22"/>
          <w:szCs w:val="22"/>
        </w:rPr>
        <w:t xml:space="preserve">the black-lacquer background, the thin strips of gold and silver decor </w:t>
      </w:r>
      <w:r>
        <w:rPr>
          <w:rFonts w:cs="Garamond" w:ascii="Garamond" w:hAnsi="Garamond"/>
          <w:spacing w:val="-1"/>
          <w:sz w:val="22"/>
          <w:szCs w:val="22"/>
        </w:rPr>
        <w:t>display a distinctive high luster. Although different in shape, these two</w:t>
      </w:r>
    </w:p>
    <w:p>
      <w:pPr>
        <w:pStyle w:val="Normal"/>
        <w:spacing w:lineRule="auto" w:line="264" w:before="72" w:after="0"/>
        <w:rPr/>
      </w:pPr>
      <w:r>
        <w:rPr>
          <w:rFonts w:cs="Garamond" w:ascii="Garamond" w:hAnsi="Garamond"/>
          <w:spacing w:val="-4"/>
          <w:sz w:val="22"/>
          <w:szCs w:val="22"/>
        </w:rPr>
        <w:t xml:space="preserve">mirrors follow the same symmetrical design order and can be dated to the </w:t>
      </w:r>
      <w:r>
        <w:rPr>
          <w:rFonts w:cs="Garamond" w:ascii="Garamond" w:hAnsi="Garamond"/>
          <w:spacing w:val="1"/>
          <w:sz w:val="22"/>
          <w:szCs w:val="22"/>
        </w:rPr>
        <w:t>beginning of the eighth century.</w:t>
      </w:r>
    </w:p>
    <w:p>
      <w:pPr>
        <w:sectPr>
          <w:footerReference w:type="default" r:id="rId17"/>
          <w:type w:val="nextPage"/>
          <w:pgSz w:w="11918" w:h="16854"/>
          <w:pgMar w:left="4395" w:right="1121" w:header="0" w:top="6011" w:footer="0" w:bottom="2670" w:gutter="0"/>
          <w:pgNumType w:fmt="decimal"/>
          <w:formProt w:val="false"/>
          <w:textDirection w:val="lrTb"/>
          <w:docGrid w:type="default" w:linePitch="360" w:charSpace="0"/>
        </w:sectPr>
        <w:pStyle w:val="Normal"/>
        <w:spacing w:before="180" w:after="0"/>
        <w:ind w:end="72" w:firstLine="504"/>
        <w:rPr/>
      </w:pPr>
      <w:r>
        <w:rPr>
          <w:rFonts w:cs="Garamond" w:ascii="Garamond" w:hAnsi="Garamond"/>
          <w:spacing w:val="1"/>
          <w:sz w:val="22"/>
          <w:szCs w:val="22"/>
        </w:rPr>
        <w:t xml:space="preserve">One of the strengths of the Tang mirrors in the Carter collection </w:t>
      </w:r>
      <w:r>
        <w:rPr>
          <w:rFonts w:cs="Garamond" w:ascii="Garamond" w:hAnsi="Garamond"/>
          <w:spacing w:val="2"/>
          <w:sz w:val="22"/>
          <w:szCs w:val="22"/>
        </w:rPr>
        <w:t xml:space="preserve">falls in the category of simple yet elegant bird-and-flower mirrors (fig. </w:t>
      </w:r>
      <w:r>
        <w:rPr>
          <w:rFonts w:cs="Garamond" w:ascii="Garamond" w:hAnsi="Garamond"/>
          <w:spacing w:val="4"/>
          <w:sz w:val="22"/>
          <w:szCs w:val="22"/>
        </w:rPr>
        <w:t xml:space="preserve">Io). An interesting comparison is offered by a piece in the National </w:t>
      </w:r>
      <w:r>
        <w:rPr>
          <w:rFonts w:cs="Garamond" w:ascii="Garamond" w:hAnsi="Garamond"/>
          <w:spacing w:val="1"/>
          <w:sz w:val="22"/>
          <w:szCs w:val="22"/>
        </w:rPr>
        <w:t xml:space="preserve">Palace Museum,Taipei (fig. ii). Serenity permeates the compositions of </w:t>
      </w:r>
      <w:r>
        <w:rPr>
          <w:rFonts w:cs="Garamond" w:ascii="Garamond" w:hAnsi="Garamond"/>
          <w:sz w:val="22"/>
          <w:szCs w:val="22"/>
        </w:rPr>
        <w:t xml:space="preserve">these two eight-lobed mirrors.A pair of ducks or phoenixes in flight, symbolizing auspiciousness and happiness in marriage, makes mirrors of </w:t>
      </w:r>
      <w:r>
        <w:rPr>
          <w:rFonts w:cs="Garamond" w:ascii="Garamond" w:hAnsi="Garamond"/>
          <w:spacing w:val="-1"/>
          <w:sz w:val="22"/>
          <w:szCs w:val="22"/>
        </w:rPr>
        <w:t xml:space="preserve">this kind precious presents for weddings and other occasions. In addition, </w:t>
      </w:r>
      <w:r>
        <w:rPr>
          <w:rFonts w:cs="Garamond" w:ascii="Garamond" w:hAnsi="Garamond"/>
          <w:spacing w:val="3"/>
          <w:sz w:val="22"/>
          <w:szCs w:val="22"/>
        </w:rPr>
        <w:t xml:space="preserve">the brilliant rosette pattern on the top of the mirror in the National </w:t>
      </w:r>
      <w:r>
        <w:rPr>
          <w:rFonts w:cs="Garamond" w:ascii="Garamond" w:hAnsi="Garamond"/>
          <w:sz w:val="22"/>
          <w:szCs w:val="22"/>
        </w:rPr>
        <w:t xml:space="preserve">Palace Museum and the symmetrical branches of flowers on the Carter </w:t>
      </w:r>
      <w:r>
        <w:rPr>
          <w:rFonts w:cs="Garamond" w:ascii="Garamond" w:hAnsi="Garamond"/>
          <w:spacing w:val="1"/>
          <w:sz w:val="22"/>
          <w:szCs w:val="22"/>
        </w:rPr>
        <w:t xml:space="preserve">mirror each display a sense of harmony and prosperity appropriate for </w:t>
      </w:r>
      <w:r>
        <w:rPr>
          <w:rFonts w:cs="Garamond" w:ascii="Garamond" w:hAnsi="Garamond"/>
          <w:sz w:val="22"/>
          <w:szCs w:val="22"/>
        </w:rPr>
        <w:t>good wishes.</w:t>
      </w:r>
    </w:p>
    <w:p>
      <w:pPr>
        <w:pStyle w:val="Normal"/>
        <w:spacing w:before="4" w:after="216"/>
        <w:ind w:start="9" w:end="9" w:hanging="0"/>
        <w:jc w:val="center"/>
        <w:rPr/>
      </w:pPr>
      <w:r>
        <w:rPr/>
        <w:drawing>
          <wp:inline distT="0" distB="0" distL="0" distR="0">
            <wp:extent cx="4041775" cy="1974850"/>
            <wp:effectExtent l="0" t="0" r="0" b="0"/>
            <wp:docPr id="4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title=""/>
                    <pic:cNvPicPr>
                      <a:picLocks noChangeAspect="1" noChangeArrowheads="1"/>
                    </pic:cNvPicPr>
                  </pic:nvPicPr>
                  <pic:blipFill>
                    <a:blip r:embed="rId18"/>
                    <a:srcRect l="-8" t="-18" r="-8" b="-18"/>
                    <a:stretch>
                      <a:fillRect/>
                    </a:stretch>
                  </pic:blipFill>
                  <pic:spPr bwMode="auto">
                    <a:xfrm>
                      <a:off x="0" y="0"/>
                      <a:ext cx="4041775" cy="1974850"/>
                    </a:xfrm>
                    <a:prstGeom prst="rect">
                      <a:avLst/>
                    </a:prstGeom>
                  </pic:spPr>
                </pic:pic>
              </a:graphicData>
            </a:graphic>
          </wp:inline>
        </w:drawing>
      </w:r>
    </w:p>
    <w:p>
      <w:pPr>
        <w:pStyle w:val="Normal"/>
        <w:rPr/>
      </w:pPr>
      <w:r>
        <w:rPr>
          <w:rFonts w:cs="Garamond" w:ascii="Garamond" w:hAnsi="Garamond"/>
          <w:spacing w:val="-5"/>
          <w:sz w:val="19"/>
          <w:szCs w:val="19"/>
        </w:rPr>
        <w:t xml:space="preserve">Fig. io. Mirror with Paired Phoenixes and </w:t>
      </w:r>
      <w:r>
        <w:rPr>
          <w:rFonts w:cs="Garamond" w:ascii="Garamond" w:hAnsi="Garamond"/>
          <w:spacing w:val="-4"/>
          <w:sz w:val="19"/>
          <w:szCs w:val="19"/>
        </w:rPr>
        <w:t xml:space="preserve">Floral Displays, 8th century, Diam. 14.8 </w:t>
      </w:r>
      <w:r>
        <w:rPr>
          <w:rFonts w:cs="Garamond" w:ascii="Garamond" w:hAnsi="Garamond"/>
          <w:spacing w:val="-6"/>
          <w:sz w:val="19"/>
          <w:szCs w:val="19"/>
        </w:rPr>
        <w:t xml:space="preserve">cm.The Cleveland Museum of Art, Gift of </w:t>
      </w:r>
      <w:r>
        <w:rPr>
          <w:rFonts w:cs="Garamond" w:ascii="Garamond" w:hAnsi="Garamond"/>
          <w:spacing w:val="-2"/>
          <w:sz w:val="19"/>
          <w:szCs w:val="19"/>
        </w:rPr>
        <w:t xml:space="preserve">Drs.Thomas and Martha Carter in Honor </w:t>
      </w:r>
      <w:r>
        <w:rPr>
          <w:rFonts w:cs="Garamond" w:ascii="Garamond" w:hAnsi="Garamond"/>
          <w:spacing w:val="-5"/>
          <w:sz w:val="19"/>
          <w:szCs w:val="19"/>
        </w:rPr>
        <w:t>of Sherman E. Lee, 1995.348.</w:t>
      </w:r>
    </w:p>
    <w:p>
      <w:pPr>
        <w:pStyle w:val="Normal"/>
        <w:rPr/>
      </w:pPr>
      <w:r>
        <w:br w:type="column"/>
      </w:r>
      <w:r>
        <w:rPr>
          <w:rFonts w:cs="Garamond" w:ascii="Garamond" w:hAnsi="Garamond"/>
          <w:spacing w:val="-1"/>
          <w:sz w:val="19"/>
          <w:szCs w:val="19"/>
        </w:rPr>
        <w:t xml:space="preserve">Fig. ii. Flower-shaped Mirror with Lotus </w:t>
      </w:r>
      <w:r>
        <w:rPr>
          <w:rFonts w:cs="Garamond" w:ascii="Garamond" w:hAnsi="Garamond"/>
          <w:spacing w:val="-3"/>
          <w:sz w:val="19"/>
          <w:szCs w:val="19"/>
        </w:rPr>
        <w:t>and Pair of Ducks, 8th century, Diam.</w:t>
      </w:r>
    </w:p>
    <w:p>
      <w:pPr>
        <w:pStyle w:val="Normal"/>
        <w:rPr/>
      </w:pPr>
      <w:r>
        <w:rPr>
          <w:rFonts w:cs="Garamond" w:ascii="Garamond" w:hAnsi="Garamond"/>
          <w:spacing w:val="-2"/>
          <w:sz w:val="19"/>
          <w:szCs w:val="19"/>
        </w:rPr>
        <w:t xml:space="preserve">18.2 cm. National Palace Museum, Taipei, </w:t>
      </w:r>
      <w:r>
        <w:rPr>
          <w:rFonts w:cs="Garamond" w:ascii="Garamond" w:hAnsi="Garamond"/>
          <w:spacing w:val="-8"/>
          <w:sz w:val="19"/>
          <w:szCs w:val="19"/>
        </w:rPr>
        <w:t xml:space="preserve">Li 74.18. After </w:t>
      </w:r>
      <w:r>
        <w:rPr>
          <w:rFonts w:cs="Bookman Old Style" w:ascii="Bookman Old Style" w:hAnsi="Bookman Old Style"/>
          <w:i/>
          <w:iCs/>
          <w:spacing w:val="-8"/>
          <w:sz w:val="16"/>
          <w:szCs w:val="16"/>
        </w:rPr>
        <w:t>Gugong tongjing tezhan</w:t>
      </w:r>
    </w:p>
    <w:p>
      <w:pPr>
        <w:pStyle w:val="Normal"/>
        <w:ind w:end="72" w:hanging="0"/>
        <w:jc w:val="both"/>
        <w:rPr/>
      </w:pPr>
      <w:r>
        <w:rPr>
          <w:i/>
          <w:iCs/>
          <w:spacing w:val="-4"/>
          <w:w w:val="90"/>
          <w:sz w:val="18"/>
          <w:szCs w:val="18"/>
        </w:rPr>
        <w:t xml:space="preserve">tulu </w:t>
      </w:r>
      <w:r>
        <w:rPr>
          <w:rFonts w:cs="Garamond" w:ascii="Garamond" w:hAnsi="Garamond"/>
          <w:spacing w:val="-4"/>
          <w:sz w:val="19"/>
          <w:szCs w:val="19"/>
        </w:rPr>
        <w:t xml:space="preserve">[Catalogue of a special exhibition of </w:t>
      </w:r>
      <w:r>
        <w:rPr>
          <w:rFonts w:cs="Garamond" w:ascii="Garamond" w:hAnsi="Garamond"/>
          <w:spacing w:val="-5"/>
          <w:sz w:val="19"/>
          <w:szCs w:val="19"/>
        </w:rPr>
        <w:t xml:space="preserve">bronze mirrors] (Taipei: National Palace </w:t>
      </w:r>
      <w:r>
        <w:rPr>
          <w:rFonts w:cs="Garamond" w:ascii="Garamond" w:hAnsi="Garamond"/>
          <w:spacing w:val="-2"/>
          <w:sz w:val="19"/>
          <w:szCs w:val="19"/>
        </w:rPr>
        <w:t>Museum, 1986), pl. III.</w:t>
      </w:r>
    </w:p>
    <w:p>
      <w:pPr>
        <w:pStyle w:val="Normal"/>
        <w:spacing w:lineRule="auto" w:line="204" w:before="144" w:after="0"/>
        <w:rPr>
          <w:rFonts w:ascii="Garamond" w:hAnsi="Garamond" w:cs="Garamond"/>
          <w:i/>
          <w:i/>
          <w:iCs/>
          <w:sz w:val="22"/>
          <w:szCs w:val="22"/>
        </w:rPr>
      </w:pPr>
      <w:r>
        <w:rPr>
          <w:rFonts w:cs="Garamond" w:ascii="Garamond" w:hAnsi="Garamond"/>
          <w:i/>
          <w:iCs/>
          <w:sz w:val="22"/>
          <w:szCs w:val="22"/>
        </w:rPr>
        <w:t>Plants and Animals</w:t>
      </w:r>
    </w:p>
    <w:p>
      <w:pPr>
        <w:pStyle w:val="Normal"/>
        <w:spacing w:before="72" w:after="0"/>
        <w:ind w:end="72" w:hanging="0"/>
        <w:rPr/>
      </w:pPr>
      <w:r>
        <w:rPr>
          <w:rFonts w:cs="Garamond" w:ascii="Garamond" w:hAnsi="Garamond"/>
          <w:sz w:val="22"/>
          <w:szCs w:val="22"/>
        </w:rPr>
        <w:t xml:space="preserve">Undoubtedly, animal-and-grapevine mirrors are the most famous Tang </w:t>
      </w:r>
      <w:r>
        <w:rPr>
          <w:rFonts w:cs="Garamond" w:ascii="Garamond" w:hAnsi="Garamond"/>
          <w:spacing w:val="4"/>
          <w:sz w:val="22"/>
          <w:szCs w:val="22"/>
        </w:rPr>
        <w:t xml:space="preserve">mirrors. Such mirrors are well documented and make up the largest </w:t>
      </w:r>
      <w:r>
        <w:rPr>
          <w:rFonts w:cs="Garamond" w:ascii="Garamond" w:hAnsi="Garamond"/>
          <w:sz w:val="22"/>
          <w:szCs w:val="22"/>
        </w:rPr>
        <w:t>group from the tombs dated between 664 and 711.</w:t>
      </w:r>
      <w:r>
        <w:rPr>
          <w:rFonts w:cs="Bookman Old Style" w:ascii="Bookman Old Style" w:hAnsi="Bookman Old Style"/>
          <w:sz w:val="22"/>
          <w:szCs w:val="22"/>
          <w:vertAlign w:val="superscript"/>
        </w:rPr>
        <w:t>10</w:t>
      </w:r>
      <w:r>
        <w:rPr>
          <w:rFonts w:cs="Garamond" w:ascii="Garamond" w:hAnsi="Garamond"/>
          <w:sz w:val="22"/>
          <w:szCs w:val="22"/>
        </w:rPr>
        <w:t xml:space="preserve"> Grapes were </w:t>
      </w:r>
      <w:r>
        <w:rPr>
          <w:rFonts w:cs="Garamond" w:ascii="Garamond" w:hAnsi="Garamond"/>
          <w:spacing w:val="5"/>
          <w:sz w:val="22"/>
          <w:szCs w:val="22"/>
        </w:rPr>
        <w:t xml:space="preserve">introduced into China from the west as early as the Han dynasty." </w:t>
      </w:r>
      <w:r>
        <w:rPr>
          <w:rFonts w:cs="Garamond" w:ascii="Garamond" w:hAnsi="Garamond"/>
          <w:spacing w:val="-4"/>
          <w:sz w:val="22"/>
          <w:szCs w:val="22"/>
        </w:rPr>
        <w:t xml:space="preserve">Animal-and-grapevine mirrors characterize best the sculptural quality and </w:t>
      </w:r>
      <w:r>
        <w:rPr>
          <w:rFonts w:cs="Garamond" w:ascii="Garamond" w:hAnsi="Garamond"/>
          <w:sz w:val="22"/>
          <w:szCs w:val="22"/>
        </w:rPr>
        <w:t>compelling energy of the Tang culture in the latter half of the seventh</w:t>
      </w:r>
    </w:p>
    <w:p>
      <w:pPr>
        <w:pStyle w:val="Normal"/>
        <w:spacing w:before="252" w:after="144"/>
        <w:ind w:end="216" w:hanging="0"/>
        <w:rPr/>
      </w:pPr>
      <w:r>
        <w:rPr>
          <w:rFonts w:cs="Garamond" w:ascii="Garamond" w:hAnsi="Garamond"/>
          <w:spacing w:val="1"/>
          <w:sz w:val="22"/>
          <w:szCs w:val="22"/>
        </w:rPr>
        <w:t xml:space="preserve">to the beginning of the eighth century. The decorations on two mirrors </w:t>
      </w:r>
      <w:r>
        <w:rPr>
          <w:rFonts w:cs="Garamond" w:ascii="Garamond" w:hAnsi="Garamond"/>
          <w:spacing w:val="-2"/>
          <w:sz w:val="22"/>
          <w:szCs w:val="22"/>
        </w:rPr>
        <w:t xml:space="preserve">in the Carter collection (figs. 12, 13) demonstrate the excellence of the </w:t>
      </w:r>
      <w:r>
        <w:rPr>
          <w:rFonts w:cs="Garamond" w:ascii="Garamond" w:hAnsi="Garamond"/>
          <w:spacing w:val="2"/>
          <w:sz w:val="22"/>
          <w:szCs w:val="22"/>
        </w:rPr>
        <w:t xml:space="preserve">type.The more sophisticated one (fig. 13) displays a delight of energy </w:t>
      </w:r>
      <w:r>
        <w:rPr>
          <w:rFonts w:cs="Garamond" w:ascii="Garamond" w:hAnsi="Garamond"/>
          <w:sz w:val="22"/>
          <w:szCs w:val="22"/>
        </w:rPr>
        <w:t xml:space="preserve">and abundance. Heavy grapevines and grapes float into the background </w:t>
      </w:r>
      <w:r>
        <w:rPr>
          <w:rFonts w:cs="Garamond" w:ascii="Garamond" w:hAnsi="Garamond"/>
          <w:spacing w:val="3"/>
          <w:sz w:val="22"/>
          <w:szCs w:val="22"/>
        </w:rPr>
        <w:t xml:space="preserve">like a melody eulogizing the world of bird and animal. In the center </w:t>
      </w:r>
      <w:r>
        <w:rPr>
          <w:rFonts w:cs="Garamond" w:ascii="Garamond" w:hAnsi="Garamond"/>
          <w:spacing w:val="-1"/>
          <w:sz w:val="22"/>
          <w:szCs w:val="22"/>
        </w:rPr>
        <w:t xml:space="preserve">field, playing in the midst of grapevines, six lion-like creatures, including </w:t>
      </w:r>
      <w:r>
        <w:rPr>
          <w:rFonts w:cs="Garamond" w:ascii="Garamond" w:hAnsi="Garamond"/>
          <w:sz w:val="22"/>
          <w:szCs w:val="22"/>
        </w:rPr>
        <w:t xml:space="preserve">the one crouching in the middle, each look in various directions in </w:t>
      </w:r>
      <w:r>
        <w:rPr>
          <w:rFonts w:cs="Garamond" w:ascii="Garamond" w:hAnsi="Garamond"/>
          <w:spacing w:val="-1"/>
          <w:sz w:val="22"/>
          <w:szCs w:val="22"/>
        </w:rPr>
        <w:t xml:space="preserve">metaphysical poses. In the outer field, birds either spread their wings or </w:t>
      </w:r>
      <w:r>
        <w:rPr>
          <w:rFonts w:cs="Garamond" w:ascii="Garamond" w:hAnsi="Garamond"/>
          <w:spacing w:val="-3"/>
          <w:sz w:val="22"/>
          <w:szCs w:val="22"/>
        </w:rPr>
        <w:t xml:space="preserve">stand still vigilantly. Realistic details of the animals, such as their fur and </w:t>
      </w:r>
      <w:r>
        <w:rPr>
          <w:rFonts w:cs="Garamond" w:ascii="Garamond" w:hAnsi="Garamond"/>
          <w:sz w:val="22"/>
          <w:szCs w:val="22"/>
        </w:rPr>
        <w:t>spines, are carefully described to attract the attention of the viewer.</w:t>
      </w:r>
    </w:p>
    <w:p>
      <w:pPr>
        <w:pStyle w:val="Normal"/>
        <w:spacing w:before="0" w:after="216"/>
        <w:ind w:start="40" w:end="40" w:hanging="0"/>
        <w:jc w:val="center"/>
        <w:rPr/>
      </w:pPr>
      <w:r>
        <w:rPr/>
        <w:drawing>
          <wp:inline distT="0" distB="0" distL="0" distR="0">
            <wp:extent cx="3999230" cy="1944370"/>
            <wp:effectExtent l="0" t="0" r="0" b="0"/>
            <wp:docPr id="4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title=""/>
                    <pic:cNvPicPr>
                      <a:picLocks noChangeAspect="1" noChangeArrowheads="1"/>
                    </pic:cNvPicPr>
                  </pic:nvPicPr>
                  <pic:blipFill>
                    <a:blip r:embed="rId19"/>
                    <a:srcRect l="-9" t="-18" r="-9" b="-18"/>
                    <a:stretch>
                      <a:fillRect/>
                    </a:stretch>
                  </pic:blipFill>
                  <pic:spPr bwMode="auto">
                    <a:xfrm>
                      <a:off x="0" y="0"/>
                      <a:ext cx="3999230" cy="1944370"/>
                    </a:xfrm>
                    <a:prstGeom prst="rect">
                      <a:avLst/>
                    </a:prstGeom>
                  </pic:spPr>
                </pic:pic>
              </a:graphicData>
            </a:graphic>
          </wp:inline>
        </w:drawing>
      </w:r>
    </w:p>
    <w:p>
      <w:pPr>
        <w:pStyle w:val="Normal"/>
        <w:jc w:val="both"/>
        <w:rPr/>
      </w:pPr>
      <w:r>
        <w:rPr>
          <w:rFonts w:cs="Garamond" w:ascii="Garamond" w:hAnsi="Garamond"/>
          <w:spacing w:val="1"/>
          <w:sz w:val="19"/>
          <w:szCs w:val="19"/>
        </w:rPr>
        <w:t xml:space="preserve">Fig. </w:t>
      </w:r>
      <w:r>
        <w:rPr>
          <w:rFonts w:cs="Bookman Old Style" w:ascii="Bookman Old Style" w:hAnsi="Bookman Old Style"/>
          <w:spacing w:val="1"/>
          <w:sz w:val="12"/>
          <w:szCs w:val="12"/>
        </w:rPr>
        <w:t xml:space="preserve">12. </w:t>
      </w:r>
      <w:r>
        <w:rPr>
          <w:rFonts w:cs="Garamond" w:ascii="Garamond" w:hAnsi="Garamond"/>
          <w:spacing w:val="1"/>
          <w:sz w:val="19"/>
          <w:szCs w:val="19"/>
        </w:rPr>
        <w:t xml:space="preserve">Animal-and-Grape Mirror, mid </w:t>
      </w:r>
      <w:r>
        <w:rPr>
          <w:rFonts w:cs="Garamond" w:ascii="Garamond" w:hAnsi="Garamond"/>
          <w:spacing w:val="-5"/>
          <w:sz w:val="19"/>
          <w:szCs w:val="19"/>
        </w:rPr>
        <w:t xml:space="preserve">7th century, Diam. 8.2 cm.The Cleveland Museum of Art, Gift of Drs.Thomas and </w:t>
      </w:r>
      <w:r>
        <w:rPr>
          <w:rFonts w:cs="Garamond" w:ascii="Garamond" w:hAnsi="Garamond"/>
          <w:sz w:val="19"/>
          <w:szCs w:val="19"/>
        </w:rPr>
        <w:t xml:space="preserve">Martha Carter in Honor of Sherman E. </w:t>
      </w:r>
      <w:r>
        <w:rPr>
          <w:rFonts w:cs="Garamond" w:ascii="Garamond" w:hAnsi="Garamond"/>
          <w:spacing w:val="-6"/>
          <w:sz w:val="19"/>
          <w:szCs w:val="19"/>
        </w:rPr>
        <w:t>Lee, 1995.356.</w:t>
      </w:r>
    </w:p>
    <w:p>
      <w:pPr>
        <w:pStyle w:val="Normal"/>
        <w:rPr/>
      </w:pPr>
      <w:r>
        <w:rPr>
          <w:rFonts w:cs="Bookman Old Style" w:ascii="Bookman Old Style" w:hAnsi="Bookman Old Style"/>
          <w:spacing w:val="-8"/>
          <w:sz w:val="17"/>
          <w:szCs w:val="17"/>
        </w:rPr>
        <w:t xml:space="preserve">Fig. </w:t>
      </w:r>
      <w:r>
        <w:rPr>
          <w:rFonts w:cs="Garamond" w:ascii="Garamond" w:hAnsi="Garamond"/>
          <w:spacing w:val="-8"/>
          <w:sz w:val="19"/>
          <w:szCs w:val="19"/>
        </w:rPr>
        <w:t xml:space="preserve">13. Animal-and-Grape Mirror, late 7th </w:t>
      </w:r>
      <w:r>
        <w:rPr>
          <w:rFonts w:cs="Garamond" w:ascii="Garamond" w:hAnsi="Garamond"/>
          <w:spacing w:val="-2"/>
          <w:sz w:val="19"/>
          <w:szCs w:val="19"/>
        </w:rPr>
        <w:t xml:space="preserve">century, Diam. 13.9 cm.The Cleveland </w:t>
      </w:r>
      <w:r>
        <w:rPr>
          <w:rFonts w:cs="Garamond" w:ascii="Garamond" w:hAnsi="Garamond"/>
          <w:spacing w:val="-6"/>
          <w:sz w:val="19"/>
          <w:szCs w:val="19"/>
        </w:rPr>
        <w:t xml:space="preserve">Museum of Art, Gift of Drs. Thomas and </w:t>
      </w:r>
      <w:r>
        <w:rPr>
          <w:rFonts w:cs="Garamond" w:ascii="Garamond" w:hAnsi="Garamond"/>
          <w:sz w:val="19"/>
          <w:szCs w:val="19"/>
        </w:rPr>
        <w:t xml:space="preserve">Martha Carter in Honor of Sherman E. </w:t>
      </w:r>
      <w:r>
        <w:rPr>
          <w:rFonts w:cs="Garamond" w:ascii="Garamond" w:hAnsi="Garamond"/>
          <w:spacing w:val="-6"/>
          <w:sz w:val="19"/>
          <w:szCs w:val="19"/>
        </w:rPr>
        <w:t>Lee, 1995.355.</w:t>
      </w:r>
    </w:p>
    <w:p>
      <w:pPr>
        <w:sectPr>
          <w:footerReference w:type="default" r:id="rId20"/>
          <w:footerReference w:type="first" r:id="rId21"/>
          <w:type w:val="nextPage"/>
          <w:pgSz w:w="11918" w:h="16854"/>
          <w:pgMar w:left="3874" w:right="1606" w:header="0" w:top="1034" w:footer="1198" w:bottom="1353" w:gutter="0"/>
          <w:pgNumType w:start="6" w:fmt="decimal"/>
          <w:formProt w:val="false"/>
          <w:titlePg/>
          <w:textDirection w:val="lrTb"/>
          <w:docGrid w:type="default" w:linePitch="360" w:charSpace="0"/>
        </w:sectPr>
      </w:pPr>
    </w:p>
    <w:p>
      <w:pPr>
        <w:pStyle w:val="Normal"/>
        <w:ind w:end="288" w:firstLine="504"/>
        <w:rPr/>
      </w:pPr>
      <w:r>
        <w:rPr>
          <w:rFonts w:cs="Garamond" w:ascii="Garamond" w:hAnsi="Garamond"/>
          <w:sz w:val="22"/>
          <w:szCs w:val="22"/>
        </w:rPr>
        <w:t>S</w:t>
      </w:r>
      <w:r>
        <w:rPr>
          <w:rFonts w:cs="Garamond" w:ascii="Garamond" w:hAnsi="Garamond"/>
          <w:sz w:val="22"/>
          <w:szCs w:val="22"/>
        </w:rPr>
        <w:t xml:space="preserve">imple but vigorous designs of bird and animal are set against a </w:t>
      </w:r>
      <w:r>
        <w:rPr>
          <w:rFonts w:cs="Garamond" w:ascii="Garamond" w:hAnsi="Garamond"/>
          <w:spacing w:val="-1"/>
          <w:sz w:val="22"/>
          <w:szCs w:val="22"/>
        </w:rPr>
        <w:t xml:space="preserve">clear background in the bracket-shaped mirror in the collection of the </w:t>
      </w:r>
      <w:r>
        <w:rPr>
          <w:rFonts w:cs="Garamond" w:ascii="Garamond" w:hAnsi="Garamond"/>
          <w:spacing w:val="3"/>
          <w:sz w:val="22"/>
          <w:szCs w:val="22"/>
        </w:rPr>
        <w:t xml:space="preserve">Arthur M. Sackler Museum, Harvard University. In the large center </w:t>
      </w:r>
      <w:r>
        <w:rPr>
          <w:rFonts w:cs="Garamond" w:ascii="Garamond" w:hAnsi="Garamond"/>
          <w:spacing w:val="-2"/>
          <w:sz w:val="22"/>
          <w:szCs w:val="22"/>
        </w:rPr>
        <w:t xml:space="preserve">field, amid scrolls of fully blossoming flowers, two fantastic animals and </w:t>
      </w:r>
      <w:r>
        <w:rPr>
          <w:rFonts w:cs="Garamond" w:ascii="Garamond" w:hAnsi="Garamond"/>
          <w:sz w:val="22"/>
          <w:szCs w:val="22"/>
        </w:rPr>
        <w:t xml:space="preserve">two phoenixes occupy the four directions. The joyfully strutting lions </w:t>
      </w:r>
      <w:r>
        <w:rPr>
          <w:rFonts w:cs="Garamond" w:ascii="Garamond" w:hAnsi="Garamond"/>
          <w:spacing w:val="-1"/>
          <w:sz w:val="22"/>
          <w:szCs w:val="22"/>
        </w:rPr>
        <w:t xml:space="preserve">each raise one paw and hold a flowering branch in another paw while </w:t>
      </w:r>
      <w:r>
        <w:rPr>
          <w:rFonts w:cs="Garamond" w:ascii="Garamond" w:hAnsi="Garamond"/>
          <w:spacing w:val="1"/>
          <w:sz w:val="22"/>
          <w:szCs w:val="22"/>
        </w:rPr>
        <w:t>looking at phoenixes perching in the back. In the narrow outer field,</w:t>
      </w:r>
      <w:r>
        <mc:AlternateContent>
          <mc:Choice Requires="wps">
            <w:drawing>
              <wp:anchor behindDoc="1" distT="0" distB="0" distL="0" distR="0" simplePos="0" locked="0" layoutInCell="1" allowOverlap="1" relativeHeight="43">
                <wp:simplePos x="0" y="0"/>
                <wp:positionH relativeFrom="page">
                  <wp:posOffset>718820</wp:posOffset>
                </wp:positionH>
                <wp:positionV relativeFrom="page">
                  <wp:posOffset>3865880</wp:posOffset>
                </wp:positionV>
                <wp:extent cx="1926590" cy="3841750"/>
                <wp:effectExtent l="0" t="0" r="0" b="0"/>
                <wp:wrapSquare wrapText="bothSides"/>
                <wp:docPr id="46" name="Frame6"/>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4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title=""/>
                                          <pic:cNvPicPr>
                                            <a:picLocks noChangeAspect="1" noChangeArrowheads="1"/>
                                          </pic:cNvPicPr>
                                        </pic:nvPicPr>
                                        <pic:blipFill>
                                          <a:blip r:embed="rId22"/>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22"/>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45">
                <wp:simplePos x="0" y="0"/>
                <wp:positionH relativeFrom="page">
                  <wp:posOffset>728345</wp:posOffset>
                </wp:positionH>
                <wp:positionV relativeFrom="page">
                  <wp:posOffset>567690</wp:posOffset>
                </wp:positionV>
                <wp:extent cx="6097270" cy="3298190"/>
                <wp:effectExtent l="0" t="0" r="0" b="0"/>
                <wp:wrapSquare wrapText="bothSides"/>
                <wp:docPr id="49" name="Frame7"/>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5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title=""/>
                                                <pic:cNvPicPr>
                                                  <a:picLocks noChangeAspect="1" noChangeArrowheads="1"/>
                                                </pic:cNvPicPr>
                                              </pic:nvPicPr>
                                              <pic:blipFill>
                                                <a:blip r:embed="rId23"/>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5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title=""/>
                                          <pic:cNvPicPr>
                                            <a:picLocks noChangeAspect="1" noChangeArrowheads="1"/>
                                          </pic:cNvPicPr>
                                        </pic:nvPicPr>
                                        <pic:blipFill>
                                          <a:blip r:embed="rId23"/>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spacing w:lineRule="auto" w:line="264" w:before="108" w:after="0"/>
        <w:ind w:end="72" w:hanging="0"/>
        <w:rPr/>
      </w:pPr>
      <w:r>
        <w:rPr>
          <w:rFonts w:cs="Garamond" w:ascii="Garamond" w:hAnsi="Garamond"/>
          <w:spacing w:val="-2"/>
          <w:sz w:val="22"/>
          <w:szCs w:val="22"/>
        </w:rPr>
        <w:t xml:space="preserve">peaceful garden scenes with birds and flowers are depicted. Mirrors of this </w:t>
      </w:r>
      <w:r>
        <w:rPr>
          <w:rFonts w:cs="Garamond" w:ascii="Garamond" w:hAnsi="Garamond"/>
          <w:spacing w:val="-1"/>
          <w:sz w:val="22"/>
          <w:szCs w:val="22"/>
        </w:rPr>
        <w:t>type have been found in tombs datable to the period from 690 to 71o.</w:t>
      </w:r>
    </w:p>
    <w:p>
      <w:pPr>
        <w:pStyle w:val="Normal"/>
        <w:ind w:end="72" w:hanging="0"/>
        <w:rPr/>
      </w:pPr>
      <w:r>
        <w:rPr>
          <w:rFonts w:cs="Garamond" w:ascii="Garamond" w:hAnsi="Garamond"/>
          <w:spacing w:val="-1"/>
          <w:sz w:val="22"/>
          <w:szCs w:val="22"/>
        </w:rPr>
        <w:t xml:space="preserve">A related bronze mirror, also at the Sackler museum (fig. i4a), provides </w:t>
      </w:r>
      <w:r>
        <w:rPr>
          <w:rFonts w:cs="Garamond" w:ascii="Garamond" w:hAnsi="Garamond"/>
          <w:sz w:val="22"/>
          <w:szCs w:val="22"/>
        </w:rPr>
        <w:t xml:space="preserve">additional documentation. An inscription incised under the silver backing </w:t>
      </w:r>
      <w:r>
        <w:rPr>
          <w:rFonts w:cs="Garamond" w:ascii="Garamond" w:hAnsi="Garamond"/>
          <w:spacing w:val="1"/>
          <w:sz w:val="22"/>
          <w:szCs w:val="22"/>
        </w:rPr>
        <w:t xml:space="preserve">of the mirror bears the date of 693 (fig. 14b).'' The knob at the center assumes a crouching zoomorphic form, from which radiate six circles. </w:t>
      </w:r>
      <w:r>
        <w:rPr>
          <w:rFonts w:cs="Garamond" w:ascii="Garamond" w:hAnsi="Garamond"/>
          <w:spacing w:val="-1"/>
          <w:sz w:val="22"/>
          <w:szCs w:val="22"/>
        </w:rPr>
        <w:t xml:space="preserve">Inside each circle a striding animal reaches out to touch its enclosing vine </w:t>
      </w:r>
      <w:r>
        <w:rPr>
          <w:rFonts w:cs="Garamond" w:ascii="Garamond" w:hAnsi="Garamond"/>
          <w:spacing w:val="-2"/>
          <w:sz w:val="22"/>
          <w:szCs w:val="22"/>
        </w:rPr>
        <w:t xml:space="preserve">scroll with its paws.The outer circle of the mirror is decorated with eight </w:t>
      </w:r>
      <w:r>
        <w:rPr>
          <w:rFonts w:cs="Garamond" w:ascii="Garamond" w:hAnsi="Garamond"/>
          <w:spacing w:val="-1"/>
          <w:sz w:val="22"/>
          <w:szCs w:val="22"/>
        </w:rPr>
        <w:t>brackets, each depicting either a branch of a flower or a bird.</w:t>
      </w:r>
    </w:p>
    <w:p>
      <w:pPr>
        <w:pStyle w:val="Normal"/>
        <w:spacing w:before="180" w:after="0"/>
        <w:ind w:start="504" w:hanging="0"/>
        <w:rPr>
          <w:rFonts w:ascii="Garamond" w:hAnsi="Garamond" w:cs="Garamond"/>
          <w:spacing w:val="-1"/>
          <w:sz w:val="22"/>
          <w:szCs w:val="22"/>
        </w:rPr>
      </w:pPr>
      <w:r>
        <w:rPr>
          <w:rFonts w:cs="Garamond" w:ascii="Garamond" w:hAnsi="Garamond"/>
          <w:spacing w:val="-1"/>
          <w:sz w:val="22"/>
          <w:szCs w:val="22"/>
        </w:rPr>
        <w:t>Before closing the discussion on animal motifs, let us consider</w:t>
      </w:r>
    </w:p>
    <w:p>
      <w:pPr>
        <w:pStyle w:val="Normal"/>
        <w:ind w:end="144" w:hanging="0"/>
        <w:rPr/>
      </w:pPr>
      <w:r>
        <w:rPr>
          <w:rFonts w:cs="Garamond" w:ascii="Garamond" w:hAnsi="Garamond"/>
          <w:spacing w:val="-4"/>
          <w:sz w:val="22"/>
          <w:szCs w:val="22"/>
        </w:rPr>
        <w:t xml:space="preserve">one last but not the least important subject—the dragon mirror. Closely </w:t>
      </w:r>
      <w:r>
        <w:rPr>
          <w:rFonts w:cs="Garamond" w:ascii="Garamond" w:hAnsi="Garamond"/>
          <w:spacing w:val="-1"/>
          <w:sz w:val="22"/>
          <w:szCs w:val="22"/>
        </w:rPr>
        <w:t xml:space="preserve">identified with Chinese culture and commonly employed as a decorative </w:t>
      </w:r>
      <w:r>
        <w:rPr>
          <w:rFonts w:cs="Garamond" w:ascii="Garamond" w:hAnsi="Garamond"/>
          <w:spacing w:val="4"/>
          <w:sz w:val="22"/>
          <w:szCs w:val="22"/>
        </w:rPr>
        <w:t xml:space="preserve">motif in every artistic medium since the Shang dynasty </w:t>
      </w:r>
      <w:r>
        <w:rPr>
          <w:rFonts w:cs="Bookman Old Style" w:ascii="Bookman Old Style" w:hAnsi="Bookman Old Style"/>
          <w:i/>
          <w:iCs/>
          <w:spacing w:val="4"/>
          <w:sz w:val="18"/>
          <w:szCs w:val="18"/>
        </w:rPr>
        <w:t>(c. i600</w:t>
      </w:r>
      <w:r>
        <w:rPr>
          <w:rFonts w:cs="Bookman Old Style" w:ascii="Bookman Old Style" w:hAnsi="Bookman Old Style"/>
          <w:i/>
          <w:iCs/>
          <w:spacing w:val="4"/>
          <w:sz w:val="6"/>
          <w:szCs w:val="6"/>
        </w:rPr>
        <w:t>—</w:t>
      </w:r>
      <w:r>
        <w:rPr>
          <w:rFonts w:cs="Bookman Old Style" w:ascii="Bookman Old Style" w:hAnsi="Bookman Old Style"/>
          <w:i/>
          <w:iCs/>
          <w:spacing w:val="4"/>
          <w:sz w:val="18"/>
          <w:szCs w:val="18"/>
        </w:rPr>
        <w:t xml:space="preserve">m23 </w:t>
      </w:r>
      <w:r>
        <w:rPr>
          <w:rFonts w:cs="Bookman Old Style" w:ascii="Bookman Old Style" w:hAnsi="Bookman Old Style"/>
          <w:i/>
          <w:iCs/>
          <w:spacing w:val="1"/>
          <w:sz w:val="18"/>
          <w:szCs w:val="18"/>
        </w:rPr>
        <w:t xml:space="preserve">Be), </w:t>
      </w:r>
      <w:r>
        <w:rPr>
          <w:rFonts w:cs="Garamond" w:ascii="Garamond" w:hAnsi="Garamond"/>
          <w:spacing w:val="1"/>
          <w:sz w:val="22"/>
          <w:szCs w:val="22"/>
        </w:rPr>
        <w:t>dragon mirrors seem to have become popular in the eighth century. A mirror in the Carter collection presents a full moon in the shape of</w:t>
      </w:r>
    </w:p>
    <w:p>
      <w:pPr>
        <w:pStyle w:val="Normal"/>
        <w:spacing w:before="108" w:after="0"/>
        <w:ind w:end="72" w:hanging="0"/>
        <w:rPr/>
      </w:pPr>
      <w:r>
        <w:rPr>
          <w:rFonts w:cs="Garamond" w:ascii="Garamond" w:hAnsi="Garamond"/>
          <w:spacing w:val="1"/>
          <w:sz w:val="22"/>
          <w:szCs w:val="22"/>
        </w:rPr>
        <w:t xml:space="preserve">a dragon (see p. 43, fig. 2). The dragon's head and neck twist up to the </w:t>
      </w:r>
      <w:r>
        <w:rPr>
          <w:rFonts w:cs="Garamond" w:ascii="Garamond" w:hAnsi="Garamond"/>
          <w:sz w:val="22"/>
          <w:szCs w:val="22"/>
        </w:rPr>
        <w:t xml:space="preserve">right, legs up in the air and wide-open mouth touching the knob of the mirror. Small puffs of cloud emerge from the feet and float into the sky. The curvilinear movement of the composition and powerful modeling of </w:t>
      </w:r>
      <w:r>
        <w:rPr>
          <w:rFonts w:cs="Garamond" w:ascii="Garamond" w:hAnsi="Garamond"/>
          <w:spacing w:val="1"/>
          <w:sz w:val="22"/>
          <w:szCs w:val="22"/>
        </w:rPr>
        <w:t xml:space="preserve">the dragon in this type of mirror demonstrate well the compelling forces </w:t>
      </w:r>
      <w:r>
        <w:rPr>
          <w:rFonts w:cs="Garamond" w:ascii="Garamond" w:hAnsi="Garamond"/>
          <w:spacing w:val="-2"/>
          <w:sz w:val="22"/>
          <w:szCs w:val="22"/>
        </w:rPr>
        <w:t>of the universe.</w:t>
      </w:r>
    </w:p>
    <w:p>
      <w:pPr>
        <w:pStyle w:val="Normal"/>
        <w:spacing w:lineRule="auto" w:line="268" w:before="468" w:after="0"/>
        <w:rPr>
          <w:rFonts w:ascii="Bookman Old Style" w:hAnsi="Bookman Old Style" w:cs="Bookman Old Style"/>
          <w:i/>
          <w:i/>
          <w:iCs/>
          <w:spacing w:val="-12"/>
          <w:sz w:val="18"/>
          <w:szCs w:val="18"/>
        </w:rPr>
      </w:pPr>
      <w:r>
        <w:rPr>
          <w:rFonts w:cs="Bookman Old Style" w:ascii="Bookman Old Style" w:hAnsi="Bookman Old Style"/>
          <w:i/>
          <w:iCs/>
          <w:spacing w:val="-12"/>
          <w:sz w:val="18"/>
          <w:szCs w:val="18"/>
        </w:rPr>
        <w:t>Landscape and Human Figures</w:t>
      </w:r>
    </w:p>
    <w:p>
      <w:pPr>
        <w:sectPr>
          <w:footerReference w:type="default" r:id="rId24"/>
          <w:footerReference w:type="first" r:id="rId25"/>
          <w:type w:val="nextPage"/>
          <w:pgSz w:w="11918" w:h="16854"/>
          <w:pgMar w:left="4371" w:right="1109" w:header="0" w:top="6102" w:footer="1254" w:bottom="1310" w:gutter="0"/>
          <w:pgNumType w:fmt="decimal"/>
          <w:formProt w:val="false"/>
          <w:titlePg/>
          <w:textDirection w:val="lrTb"/>
          <w:docGrid w:type="default" w:linePitch="360" w:charSpace="0"/>
        </w:sectPr>
        <w:pStyle w:val="Normal"/>
        <w:ind w:end="288" w:hanging="0"/>
        <w:jc w:val="both"/>
        <w:rPr/>
      </w:pPr>
      <w:r>
        <w:rPr>
          <w:rFonts w:cs="Garamond" w:ascii="Garamond" w:hAnsi="Garamond"/>
          <w:spacing w:val="-2"/>
          <w:sz w:val="22"/>
          <w:szCs w:val="22"/>
        </w:rPr>
        <w:t xml:space="preserve">Human figures appear in Tang mirrors first as part of hunting scenes, a </w:t>
      </w:r>
      <w:r>
        <w:rPr>
          <w:rFonts w:cs="Garamond" w:ascii="Garamond" w:hAnsi="Garamond"/>
          <w:sz w:val="22"/>
          <w:szCs w:val="22"/>
        </w:rPr>
        <w:t xml:space="preserve">motif popular in the mural painting of the imperial tombs dating from </w:t>
      </w:r>
      <w:r>
        <w:rPr>
          <w:rFonts w:cs="Garamond" w:ascii="Garamond" w:hAnsi="Garamond"/>
          <w:spacing w:val="-1"/>
          <w:sz w:val="22"/>
          <w:szCs w:val="22"/>
        </w:rPr>
        <w:t>the late seventh to the beginning of the eighth century. The theme of hunting for pleasure took another ancient and metaphysical form as the</w:t>
      </w:r>
    </w:p>
    <w:p>
      <w:pPr>
        <w:pStyle w:val="Normal"/>
        <w:rPr/>
      </w:pPr>
      <w:r>
        <w:rPr>
          <w:rFonts w:cs="Garamond" w:ascii="Garamond" w:hAnsi="Garamond"/>
          <w:spacing w:val="1"/>
          <w:sz w:val="22"/>
          <w:szCs w:val="22"/>
        </w:rPr>
        <w:t>s</w:t>
      </w:r>
      <w:r>
        <w:rPr>
          <w:rFonts w:cs="Garamond" w:ascii="Garamond" w:hAnsi="Garamond"/>
          <w:spacing w:val="1"/>
          <w:sz w:val="22"/>
          <w:szCs w:val="22"/>
        </w:rPr>
        <w:t xml:space="preserve">earch for immortality; as early as the Warring States period (481-221 Bc), </w:t>
      </w:r>
      <w:r>
        <w:rPr>
          <w:rFonts w:cs="Garamond" w:ascii="Garamond" w:hAnsi="Garamond"/>
          <w:spacing w:val="-3"/>
          <w:sz w:val="22"/>
          <w:szCs w:val="22"/>
        </w:rPr>
        <w:t xml:space="preserve">in many tombs the soul of the deceased riding on a dragon on the way to </w:t>
      </w:r>
      <w:r>
        <w:rPr>
          <w:rFonts w:cs="Garamond" w:ascii="Garamond" w:hAnsi="Garamond"/>
          <w:spacing w:val="1"/>
          <w:sz w:val="22"/>
          <w:szCs w:val="22"/>
        </w:rPr>
        <w:t xml:space="preserve">immortality was depicted." Two splendid examples are in the Sumitomo </w:t>
      </w:r>
      <w:r>
        <w:rPr>
          <w:rFonts w:cs="Garamond" w:ascii="Garamond" w:hAnsi="Garamond"/>
          <w:spacing w:val="5"/>
          <w:sz w:val="22"/>
          <w:szCs w:val="22"/>
        </w:rPr>
        <w:t xml:space="preserve">and the Carter collections (figs. 15, 16).The simplified rocks with </w:t>
      </w:r>
      <w:r>
        <w:rPr>
          <w:rFonts w:cs="Garamond" w:ascii="Garamond" w:hAnsi="Garamond"/>
          <w:spacing w:val="-2"/>
          <w:sz w:val="22"/>
          <w:szCs w:val="22"/>
        </w:rPr>
        <w:t xml:space="preserve">vegetation on the Carter mirror indicate the land of the immortals; on the </w:t>
      </w:r>
      <w:r>
        <w:rPr>
          <w:rFonts w:cs="Garamond" w:ascii="Garamond" w:hAnsi="Garamond"/>
          <w:sz w:val="22"/>
          <w:szCs w:val="22"/>
        </w:rPr>
        <w:t>Tokyo mirror, a cloud leads each dragon or phoenix to the ideal world.</w:t>
      </w:r>
      <w:r>
        <mc:AlternateContent>
          <mc:Choice Requires="wps">
            <w:drawing>
              <wp:anchor behindDoc="0" distT="0" distB="0" distL="0" distR="0" simplePos="0" locked="0" layoutInCell="1" allowOverlap="1" relativeHeight="47">
                <wp:simplePos x="0" y="0"/>
                <wp:positionH relativeFrom="page">
                  <wp:posOffset>718820</wp:posOffset>
                </wp:positionH>
                <wp:positionV relativeFrom="page">
                  <wp:posOffset>580390</wp:posOffset>
                </wp:positionV>
                <wp:extent cx="6121400" cy="3324860"/>
                <wp:effectExtent l="0" t="0" r="0" b="0"/>
                <wp:wrapSquare wrapText="bothSides"/>
                <wp:docPr id="53" name="Frame8"/>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5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 descr="" title=""/>
                                                <pic:cNvPicPr>
                                                  <a:picLocks noChangeAspect="1" noChangeArrowheads="1"/>
                                                </pic:cNvPicPr>
                                              </pic:nvPicPr>
                                              <pic:blipFill>
                                                <a:blip r:embed="rId26"/>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5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 descr="" title=""/>
                                          <pic:cNvPicPr>
                                            <a:picLocks noChangeAspect="1" noChangeArrowheads="1"/>
                                          </pic:cNvPicPr>
                                        </pic:nvPicPr>
                                        <pic:blipFill>
                                          <a:blip r:embed="rId26"/>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54">
                <wp:simplePos x="0" y="0"/>
                <wp:positionH relativeFrom="page">
                  <wp:posOffset>724535</wp:posOffset>
                </wp:positionH>
                <wp:positionV relativeFrom="page">
                  <wp:posOffset>3905250</wp:posOffset>
                </wp:positionV>
                <wp:extent cx="6115685" cy="3298190"/>
                <wp:effectExtent l="0" t="0" r="0" b="0"/>
                <wp:wrapSquare wrapText="bothSides"/>
                <wp:docPr id="56" name="Frame9"/>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5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 descr="" title=""/>
                                                <pic:cNvPicPr>
                                                  <a:picLocks noChangeAspect="1" noChangeArrowheads="1"/>
                                                </pic:cNvPicPr>
                                              </pic:nvPicPr>
                                              <pic:blipFill>
                                                <a:blip r:embed="rId27"/>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58"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descr="" title=""/>
                                          <pic:cNvPicPr>
                                            <a:picLocks noChangeAspect="1" noChangeArrowheads="1"/>
                                          </pic:cNvPicPr>
                                        </pic:nvPicPr>
                                        <pic:blipFill>
                                          <a:blip r:embed="rId27"/>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rFonts w:ascii="Garamond" w:hAnsi="Garamond" w:cs="Garamond"/>
          <w:sz w:val="22"/>
          <w:szCs w:val="22"/>
        </w:rPr>
      </w:pPr>
      <w:r>
        <w:rPr>
          <w:rFonts w:cs="Garamond" w:ascii="Garamond" w:hAnsi="Garamond"/>
          <w:sz w:val="22"/>
          <w:szCs w:val="22"/>
        </w:rPr>
        <w:t>The most elaborate depiction of the Taoist realm of the immortals is the large silver-backed mirror in the Shoso-in (fig. 2). Encircling</w:t>
      </w:r>
    </w:p>
    <w:p>
      <w:pPr>
        <w:sectPr>
          <w:footerReference w:type="default" r:id="rId28"/>
          <w:footerReference w:type="first" r:id="rId29"/>
          <w:type w:val="nextPage"/>
          <w:pgSz w:w="11918" w:h="16854"/>
          <w:pgMar w:left="4394" w:right="1086" w:header="0" w:top="12121" w:footer="1178" w:bottom="1234" w:gutter="0"/>
          <w:pgNumType w:fmt="decimal"/>
          <w:formProt w:val="false"/>
          <w:titlePg/>
          <w:textDirection w:val="lrTb"/>
          <w:docGrid w:type="default" w:linePitch="360" w:charSpace="0"/>
        </w:sectPr>
        <w:pStyle w:val="Normal"/>
        <w:rPr/>
      </w:pPr>
      <w:r>
        <w:rPr>
          <w:rFonts w:cs="Garamond" w:ascii="Garamond" w:hAnsi="Garamond"/>
          <w:sz w:val="22"/>
          <w:szCs w:val="22"/>
        </w:rPr>
        <w:t xml:space="preserve">the outer frame of the mirror, full-fledged geese, ducks, peacocks, and </w:t>
      </w:r>
      <w:r>
        <w:rPr>
          <w:rFonts w:cs="Garamond" w:ascii="Garamond" w:hAnsi="Garamond"/>
          <w:spacing w:val="2"/>
          <w:sz w:val="22"/>
          <w:szCs w:val="22"/>
        </w:rPr>
        <w:t xml:space="preserve">phoenixes perch on large flower heads attached to long baroque scrolls. </w:t>
      </w:r>
      <w:r>
        <w:rPr>
          <w:rFonts w:cs="Garamond" w:ascii="Garamond" w:hAnsi="Garamond"/>
          <w:spacing w:val="-1"/>
          <w:sz w:val="22"/>
          <w:szCs w:val="22"/>
        </w:rPr>
        <w:t>The landscape depicting an auspicious land of happiness in the large inner circle is a new motif of Tang mirrors. Like pivots of the four quarters,</w:t>
      </w:r>
    </w:p>
    <w:p>
      <w:pPr>
        <w:pStyle w:val="Normal"/>
        <w:spacing w:lineRule="auto" w:line="288"/>
        <w:ind w:end="72" w:hanging="0"/>
        <w:rPr/>
      </w:pPr>
      <w:r>
        <w:rPr>
          <w:rFonts w:cs="Bookman Old Style" w:ascii="Bookman Old Style" w:hAnsi="Bookman Old Style"/>
          <w:spacing w:val="-11"/>
          <w:sz w:val="19"/>
          <w:szCs w:val="19"/>
        </w:rPr>
        <w:t xml:space="preserve">mountains rise above the ocean in the center. In the intermediate spaces </w:t>
      </w:r>
      <w:r>
        <w:rPr>
          <w:rFonts w:cs="Bookman Old Style" w:ascii="Bookman Old Style" w:hAnsi="Bookman Old Style"/>
          <w:spacing w:val="-8"/>
          <w:sz w:val="19"/>
          <w:szCs w:val="19"/>
        </w:rPr>
        <w:t xml:space="preserve">appears either a flying dragon or a gentleman playing music accompanied by a dancing crane. This delightful and detailed composition must have </w:t>
      </w:r>
      <w:r>
        <w:rPr>
          <w:rFonts w:cs="Bookman Old Style" w:ascii="Bookman Old Style" w:hAnsi="Bookman Old Style"/>
          <w:spacing w:val="-10"/>
          <w:sz w:val="19"/>
          <w:szCs w:val="19"/>
        </w:rPr>
        <w:t xml:space="preserve">derived from the emergence of the mature landscape painting style in the </w:t>
      </w:r>
      <w:r>
        <w:rPr>
          <w:rFonts w:cs="Bookman Old Style" w:ascii="Bookman Old Style" w:hAnsi="Bookman Old Style"/>
          <w:spacing w:val="-8"/>
          <w:sz w:val="19"/>
          <w:szCs w:val="19"/>
        </w:rPr>
        <w:t>eighth century.</w:t>
      </w:r>
    </w:p>
    <w:p>
      <w:pPr>
        <w:pStyle w:val="Normal"/>
        <w:spacing w:lineRule="auto" w:line="288"/>
        <w:ind w:end="288" w:firstLine="504"/>
        <w:rPr/>
      </w:pPr>
      <w:r>
        <w:rPr>
          <w:rFonts w:cs="Bookman Old Style" w:ascii="Bookman Old Style" w:hAnsi="Bookman Old Style"/>
          <w:spacing w:val="-8"/>
          <w:sz w:val="19"/>
          <w:szCs w:val="19"/>
        </w:rPr>
        <w:t xml:space="preserve">By the mid eighth century, the human figure appears in the </w:t>
      </w:r>
      <w:r>
        <w:rPr>
          <w:rFonts w:cs="Bookman Old Style" w:ascii="Bookman Old Style" w:hAnsi="Bookman Old Style"/>
          <w:spacing w:val="-6"/>
          <w:sz w:val="19"/>
          <w:szCs w:val="19"/>
        </w:rPr>
        <w:t xml:space="preserve">landscape, relaxing in a confined corner of a private garden. A lobed </w:t>
      </w:r>
      <w:r>
        <w:rPr>
          <w:rFonts w:cs="Bookman Old Style" w:ascii="Bookman Old Style" w:hAnsi="Bookman Old Style"/>
          <w:spacing w:val="-8"/>
          <w:sz w:val="19"/>
          <w:szCs w:val="19"/>
        </w:rPr>
        <w:t xml:space="preserve">mirror with a tortoise knob, musician, and phoenix (see p. 56, fig. 12) is </w:t>
      </w:r>
      <w:r>
        <w:rPr>
          <w:rFonts w:cs="Bookman Old Style" w:ascii="Bookman Old Style" w:hAnsi="Bookman Old Style"/>
          <w:spacing w:val="-7"/>
          <w:sz w:val="19"/>
          <w:szCs w:val="19"/>
        </w:rPr>
        <w:t xml:space="preserve">a good example. In front of the bamboo grove, a musician or immortal </w:t>
      </w:r>
      <w:r>
        <w:rPr>
          <w:rFonts w:cs="Bookman Old Style" w:ascii="Bookman Old Style" w:hAnsi="Bookman Old Style"/>
          <w:spacing w:val="-10"/>
          <w:sz w:val="19"/>
          <w:szCs w:val="19"/>
        </w:rPr>
        <w:t xml:space="preserve">sits down to play for the dancing phoenix. In between, a lotus pond is </w:t>
      </w:r>
      <w:r>
        <w:rPr>
          <w:rFonts w:cs="Bookman Old Style" w:ascii="Bookman Old Style" w:hAnsi="Bookman Old Style"/>
          <w:spacing w:val="-7"/>
          <w:sz w:val="19"/>
          <w:szCs w:val="19"/>
        </w:rPr>
        <w:t>decorated with rocks. A mirror with a comparable motif was excavated</w:t>
      </w:r>
    </w:p>
    <w:p>
      <w:pPr>
        <w:pStyle w:val="Normal"/>
        <w:spacing w:lineRule="auto" w:line="290"/>
        <w:rPr/>
      </w:pPr>
      <w:r>
        <w:rPr>
          <w:rFonts w:cs="Bookman Old Style" w:ascii="Bookman Old Style" w:hAnsi="Bookman Old Style"/>
          <w:spacing w:val="-6"/>
          <w:sz w:val="19"/>
          <w:szCs w:val="19"/>
        </w:rPr>
        <w:t>from a tomb in Luoyang dating to 784:</w:t>
      </w:r>
      <w:r>
        <w:rPr>
          <w:rFonts w:cs="Bookman Old Style" w:ascii="Bookman Old Style" w:hAnsi="Bookman Old Style"/>
          <w:spacing w:val="-6"/>
          <w:w w:val="95"/>
          <w:sz w:val="19"/>
          <w:szCs w:val="19"/>
          <w:vertAlign w:val="superscript"/>
        </w:rPr>
        <w:t>4</w:t>
      </w:r>
      <w:r>
        <w:rPr>
          <w:rFonts w:cs="Bookman Old Style" w:ascii="Bookman Old Style" w:hAnsi="Bookman Old Style"/>
          <w:spacing w:val="-6"/>
          <w:sz w:val="19"/>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rFonts w:cs="Bookman Old Style" w:ascii="Bookman Old Style" w:hAnsi="Bookman Old Style"/>
          <w:spacing w:val="-10"/>
          <w:sz w:val="19"/>
          <w:szCs w:val="19"/>
        </w:rPr>
        <w:t xml:space="preserve">attendant, a few birds, rocks, and wine vessels. The soft and voluminous </w:t>
      </w:r>
      <w:r>
        <w:rPr>
          <w:rFonts w:cs="Bookman Old Style" w:ascii="Bookman Old Style" w:hAnsi="Bookman Old Style"/>
          <w:spacing w:val="-6"/>
          <w:sz w:val="19"/>
          <w:szCs w:val="19"/>
        </w:rPr>
        <w:t xml:space="preserve">rendering of the motif characterizes that of the Tianbao era (742-755) or </w:t>
      </w:r>
      <w:r>
        <w:rPr>
          <w:rFonts w:cs="Bookman Old Style" w:ascii="Bookman Old Style" w:hAnsi="Bookman Old Style"/>
          <w:spacing w:val="-10"/>
          <w:sz w:val="19"/>
          <w:szCs w:val="19"/>
        </w:rPr>
        <w:t>even later.</w:t>
      </w:r>
    </w:p>
    <w:p>
      <w:pPr>
        <w:pStyle w:val="Normal"/>
        <w:spacing w:lineRule="auto" w:line="290" w:before="252" w:after="0"/>
        <w:ind w:end="288" w:hanging="0"/>
        <w:rPr/>
      </w:pPr>
      <w:r>
        <w:rPr>
          <w:rFonts w:cs="Bookman Old Style" w:ascii="Bookman Old Style" w:hAnsi="Bookman Old Style"/>
          <w:spacing w:val="-6"/>
          <w:sz w:val="19"/>
          <w:szCs w:val="19"/>
        </w:rPr>
        <w:t xml:space="preserve">The elaborate ornament of meticulously depicted flowers and animals </w:t>
      </w:r>
      <w:r>
        <w:rPr>
          <w:rFonts w:cs="Bookman Old Style" w:ascii="Bookman Old Style" w:hAnsi="Bookman Old Style"/>
          <w:spacing w:val="-7"/>
          <w:sz w:val="19"/>
          <w:szCs w:val="19"/>
        </w:rPr>
        <w:t xml:space="preserve">in these mirrors celebrates the good wishes and prosperity enjoyed by </w:t>
      </w:r>
      <w:r>
        <w:rPr>
          <w:rFonts w:cs="Bookman Old Style" w:ascii="Bookman Old Style" w:hAnsi="Bookman Old Style"/>
          <w:spacing w:val="-13"/>
          <w:sz w:val="19"/>
          <w:szCs w:val="19"/>
        </w:rPr>
        <w:t xml:space="preserve">the Tang people. Concern with naturalism and a search for ideal beauty </w:t>
      </w:r>
      <w:r>
        <w:rPr>
          <w:rFonts w:cs="Bookman Old Style" w:ascii="Bookman Old Style" w:hAnsi="Bookman Old Style"/>
          <w:spacing w:val="-5"/>
          <w:sz w:val="19"/>
          <w:szCs w:val="19"/>
        </w:rPr>
        <w:t xml:space="preserve">compete with each other within the design. The cosmopolitan culture </w:t>
      </w:r>
      <w:r>
        <w:rPr>
          <w:rFonts w:cs="Bookman Old Style" w:ascii="Bookman Old Style" w:hAnsi="Bookman Old Style"/>
          <w:spacing w:val="-8"/>
          <w:sz w:val="19"/>
          <w:szCs w:val="19"/>
        </w:rPr>
        <w:t>in the capital opened up a new range of imagination and expression for</w:t>
      </w:r>
    </w:p>
    <w:p>
      <w:pPr>
        <w:sectPr>
          <w:footerReference w:type="default" r:id="rId30"/>
          <w:footerReference w:type="first" r:id="rId31"/>
          <w:type w:val="nextPage"/>
          <w:pgSz w:w="11918" w:h="16854"/>
          <w:pgMar w:left="4104" w:right="1376" w:header="0" w:top="914" w:footer="1247" w:bottom="1303" w:gutter="0"/>
          <w:pgNumType w:fmt="decimal"/>
          <w:formProt w:val="false"/>
          <w:titlePg/>
          <w:textDirection w:val="lrTb"/>
          <w:docGrid w:type="default" w:linePitch="360" w:charSpace="0"/>
        </w:sectPr>
        <w:pStyle w:val="Normal"/>
        <w:spacing w:lineRule="auto" w:line="283"/>
        <w:ind w:end="72" w:hanging="0"/>
        <w:rPr/>
      </w:pPr>
      <w:r>
        <w:rPr>
          <w:rFonts w:cs="Bookman Old Style" w:ascii="Bookman Old Style" w:hAnsi="Bookman Old Style"/>
          <w:spacing w:val="-13"/>
          <w:sz w:val="19"/>
          <w:szCs w:val="19"/>
        </w:rPr>
        <w:t xml:space="preserve">the artists and artisans. The mature style of Tang art captures the enduring </w:t>
      </w:r>
      <w:r>
        <w:rPr>
          <w:rFonts w:cs="Bookman Old Style" w:ascii="Bookman Old Style" w:hAnsi="Bookman Old Style"/>
          <w:spacing w:val="-6"/>
          <w:sz w:val="19"/>
          <w:szCs w:val="19"/>
        </w:rPr>
        <w:t>energy of the universe in microcosm.</w:t>
      </w:r>
    </w:p>
    <w:p>
      <w:pPr>
        <w:sectPr>
          <w:footerReference w:type="default" r:id="rId32"/>
          <w:footerReference w:type="first" r:id="rId33"/>
          <w:type w:val="nextPage"/>
          <w:pgSz w:w="11918" w:h="16854"/>
          <w:pgMar w:left="4257" w:right="1225" w:header="0" w:top="954" w:footer="1312" w:bottom="3008" w:gutter="0"/>
          <w:pgNumType w:fmt="decimal"/>
          <w:formProt w:val="false"/>
          <w:titlePg/>
          <w:textDirection w:val="lrTb"/>
          <w:docGrid w:type="default" w:linePitch="360" w:charSpace="0"/>
        </w:sectPr>
        <w:pStyle w:val="Normal"/>
        <w:spacing w:lineRule="auto" w:line="204" w:before="0" w:after="1080"/>
        <w:rPr>
          <w:rFonts w:ascii="Garamond" w:hAnsi="Garamond" w:cs="Garamond"/>
          <w:sz w:val="16"/>
          <w:szCs w:val="16"/>
        </w:rPr>
      </w:pPr>
      <w:r>
        <w:rPr>
          <w:rFonts w:cs="Garamond" w:ascii="Garamond" w:hAnsi="Garamond"/>
          <w:sz w:val="16"/>
          <w:szCs w:val="16"/>
        </w:rPr>
        <w:t>NOTES</w:t>
      </w:r>
    </w:p>
    <w:p>
      <w:pPr>
        <w:pStyle w:val="Normal"/>
        <w:numPr>
          <w:ilvl w:val="0"/>
          <w:numId w:val="3"/>
        </w:numPr>
        <w:tabs>
          <w:tab w:val="clear" w:pos="720"/>
          <w:tab w:val="left" w:pos="288" w:leader="none"/>
        </w:tabs>
        <w:spacing w:lineRule="auto" w:line="290"/>
        <w:rPr/>
      </w:pPr>
      <w:r>
        <w:rPr>
          <w:rFonts w:cs="Bookman Old Style" w:ascii="Bookman Old Style" w:hAnsi="Bookman Old Style"/>
          <w:spacing w:val="4"/>
          <w:sz w:val="15"/>
          <w:szCs w:val="15"/>
        </w:rPr>
        <w:t xml:space="preserve">Chuan-yingYen, "Tangdai tongjing </w:t>
      </w:r>
      <w:r>
        <w:rPr>
          <w:rFonts w:cs="Bookman Old Style" w:ascii="Bookman Old Style" w:hAnsi="Bookman Old Style"/>
          <w:spacing w:val="-4"/>
          <w:sz w:val="15"/>
          <w:szCs w:val="15"/>
        </w:rPr>
        <w:t xml:space="preserve">wenshi zhi neirong yu fengge" [Decorative </w:t>
      </w:r>
      <w:r>
        <w:rPr>
          <w:rFonts w:cs="Bookman Old Style" w:ascii="Bookman Old Style" w:hAnsi="Bookman Old Style"/>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rFonts w:cs="Bookman Old Style" w:ascii="Bookman Old Style" w:hAnsi="Bookman Old Style"/>
          <w:spacing w:val="6"/>
          <w:sz w:val="15"/>
          <w:szCs w:val="15"/>
        </w:rPr>
        <w:t xml:space="preserve">Academia Sinica, 60, part </w:t>
      </w:r>
      <w:r>
        <w:rPr>
          <w:rFonts w:cs="Garamond" w:ascii="Garamond" w:hAnsi="Garamond"/>
          <w:spacing w:val="6"/>
          <w:sz w:val="14"/>
          <w:szCs w:val="14"/>
        </w:rPr>
        <w:t>2 (1989), 289</w:t>
      </w:r>
      <w:r>
        <w:rPr>
          <w:rFonts w:cs="Bookman Old Style" w:ascii="Bookman Old Style" w:hAnsi="Bookman Old Style"/>
          <w:spacing w:val="6"/>
          <w:sz w:val="14"/>
          <w:szCs w:val="14"/>
          <w:vertAlign w:val="superscript"/>
        </w:rPr>
        <w:softHyphen/>
      </w:r>
      <w:r>
        <w:rPr>
          <w:i/>
          <w:iCs/>
          <w:sz w:val="17"/>
          <w:szCs w:val="17"/>
        </w:rPr>
        <w:t>353.</w:t>
      </w:r>
    </w:p>
    <w:p>
      <w:pPr>
        <w:pStyle w:val="Normal"/>
        <w:numPr>
          <w:ilvl w:val="0"/>
          <w:numId w:val="3"/>
        </w:numPr>
        <w:tabs>
          <w:tab w:val="clear" w:pos="720"/>
          <w:tab w:val="left" w:pos="288" w:leader="none"/>
        </w:tabs>
        <w:spacing w:lineRule="auto" w:line="288" w:before="216" w:after="0"/>
        <w:ind w:start="0" w:end="144" w:firstLine="72"/>
        <w:rPr/>
      </w:pPr>
      <w:r>
        <w:rPr>
          <w:rFonts w:cs="Bookman Old Style" w:ascii="Bookman Old Style" w:hAnsi="Bookman Old Style"/>
          <w:spacing w:val="1"/>
          <w:sz w:val="15"/>
          <w:szCs w:val="15"/>
        </w:rPr>
        <w:t xml:space="preserve">Kong Xiangxing, "Sui tang tongjing </w:t>
      </w:r>
      <w:r>
        <w:rPr>
          <w:rFonts w:cs="Bookman Old Style" w:ascii="Bookman Old Style" w:hAnsi="Bookman Old Style"/>
          <w:sz w:val="15"/>
          <w:szCs w:val="15"/>
        </w:rPr>
        <w:t xml:space="preserve">de leixing yu fenqi" [Typology and </w:t>
      </w:r>
      <w:r>
        <w:rPr>
          <w:rFonts w:cs="Bookman Old Style" w:ascii="Bookman Old Style" w:hAnsi="Bookman Old Style"/>
          <w:spacing w:val="1"/>
          <w:sz w:val="15"/>
          <w:szCs w:val="15"/>
        </w:rPr>
        <w:t xml:space="preserve">periodization of Sui and Tang mirrors], </w:t>
      </w:r>
      <w:r>
        <w:rPr>
          <w:rFonts w:cs="Bookman Old Style" w:ascii="Bookman Old Style" w:hAnsi="Bookman Old Style"/>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rFonts w:cs="Bookman Old Style" w:ascii="Bookman Old Style" w:hAnsi="Bookman Old Style"/>
          <w:spacing w:val="-2"/>
          <w:sz w:val="15"/>
          <w:szCs w:val="15"/>
        </w:rPr>
        <w:t>(Beijing:Wenwu, 1980), 380-99.</w:t>
      </w:r>
    </w:p>
    <w:p>
      <w:pPr>
        <w:pStyle w:val="Normal"/>
        <w:numPr>
          <w:ilvl w:val="0"/>
          <w:numId w:val="3"/>
        </w:numPr>
        <w:tabs>
          <w:tab w:val="clear" w:pos="720"/>
          <w:tab w:val="left" w:pos="288" w:leader="none"/>
        </w:tabs>
        <w:spacing w:lineRule="auto" w:line="283" w:before="180" w:after="0"/>
        <w:ind w:start="0" w:end="144" w:firstLine="72"/>
        <w:rPr/>
      </w:pPr>
      <w:r>
        <w:rPr>
          <w:rFonts w:cs="Bookman Old Style" w:ascii="Bookman Old Style" w:hAnsi="Bookman Old Style"/>
          <w:spacing w:val="-7"/>
          <w:sz w:val="15"/>
          <w:szCs w:val="15"/>
        </w:rPr>
        <w:t xml:space="preserve">Ju-hsi Chou, </w:t>
      </w:r>
      <w:r>
        <w:rPr>
          <w:i/>
          <w:iCs/>
          <w:spacing w:val="-7"/>
          <w:sz w:val="17"/>
          <w:szCs w:val="17"/>
        </w:rPr>
        <w:t xml:space="preserve">Circles of Reflection: The Carter Collection of Chinese Bronze Mirrors </w:t>
      </w:r>
      <w:r>
        <w:rPr>
          <w:rFonts w:cs="Bookman Old Style" w:ascii="Bookman Old Style" w:hAnsi="Bookman Old Style"/>
          <w:sz w:val="15"/>
          <w:szCs w:val="15"/>
        </w:rPr>
        <w:t xml:space="preserve">(Cleveland: Cleveland Museum of Art, </w:t>
      </w:r>
      <w:r>
        <w:rPr>
          <w:rFonts w:cs="Garamond" w:ascii="Garamond" w:hAnsi="Garamond"/>
          <w:spacing w:val="6"/>
          <w:sz w:val="16"/>
          <w:szCs w:val="16"/>
        </w:rPr>
        <w:t>2000), 7.</w:t>
      </w:r>
    </w:p>
    <w:p>
      <w:pPr>
        <w:pStyle w:val="Normal"/>
        <w:numPr>
          <w:ilvl w:val="0"/>
          <w:numId w:val="3"/>
        </w:numPr>
        <w:tabs>
          <w:tab w:val="clear" w:pos="720"/>
          <w:tab w:val="left" w:pos="288" w:leader="none"/>
        </w:tabs>
        <w:spacing w:lineRule="auto" w:line="290" w:before="252" w:after="0"/>
        <w:ind w:start="0" w:end="72" w:firstLine="72"/>
        <w:rPr/>
      </w:pPr>
      <w:r>
        <w:rPr>
          <w:rFonts w:cs="Bookman Old Style" w:ascii="Bookman Old Style" w:hAnsi="Bookman Old Style"/>
          <w:spacing w:val="-1"/>
          <w:sz w:val="15"/>
          <w:szCs w:val="15"/>
        </w:rPr>
        <w:t xml:space="preserve">One of the earliestYangzhou mirrors </w:t>
      </w:r>
      <w:r>
        <w:rPr>
          <w:rFonts w:cs="Bookman Old Style" w:ascii="Bookman Old Style" w:hAnsi="Bookman Old Style"/>
          <w:spacing w:val="-5"/>
          <w:sz w:val="15"/>
          <w:szCs w:val="15"/>
        </w:rPr>
        <w:t xml:space="preserve">was produced in mid autumn of 622 and </w:t>
      </w:r>
      <w:r>
        <w:rPr>
          <w:rFonts w:cs="Bookman Old Style" w:ascii="Bookman Old Style" w:hAnsi="Bookman Old Style"/>
          <w:spacing w:val="3"/>
          <w:sz w:val="15"/>
          <w:szCs w:val="15"/>
        </w:rPr>
        <w:t xml:space="preserve">inscribed as a tribute to the court on </w:t>
      </w:r>
      <w:r>
        <w:rPr>
          <w:rFonts w:cs="Bookman Old Style" w:ascii="Bookman Old Style" w:hAnsi="Bookman Old Style"/>
          <w:spacing w:val="-2"/>
          <w:sz w:val="15"/>
          <w:szCs w:val="15"/>
        </w:rPr>
        <w:t xml:space="preserve">the first day of 623. Wang Fu, </w:t>
      </w:r>
      <w:r>
        <w:rPr>
          <w:i/>
          <w:iCs/>
          <w:spacing w:val="-2"/>
          <w:sz w:val="17"/>
          <w:szCs w:val="17"/>
        </w:rPr>
        <w:t xml:space="preserve">Chongxiu Xuanhe bogutu (c. 117o-80) </w:t>
      </w:r>
      <w:r>
        <w:rPr>
          <w:rFonts w:cs="Bookman Old Style" w:ascii="Bookman Old Style" w:hAnsi="Bookman Old Style"/>
          <w:spacing w:val="-2"/>
          <w:sz w:val="15"/>
          <w:szCs w:val="15"/>
        </w:rPr>
        <w:t xml:space="preserve">[Revised </w:t>
      </w:r>
      <w:r>
        <w:rPr>
          <w:rFonts w:cs="Bookman Old Style" w:ascii="Bookman Old Style" w:hAnsi="Bookman Old Style"/>
          <w:spacing w:val="-4"/>
          <w:sz w:val="15"/>
          <w:szCs w:val="15"/>
        </w:rPr>
        <w:t xml:space="preserve">illustrated antiques of the Xuanhe era </w:t>
      </w:r>
      <w:r>
        <w:rPr>
          <w:i/>
          <w:iCs/>
          <w:spacing w:val="-4"/>
          <w:sz w:val="17"/>
          <w:szCs w:val="17"/>
        </w:rPr>
        <w:t xml:space="preserve">(c. </w:t>
      </w:r>
      <w:r>
        <w:rPr>
          <w:rFonts w:cs="Bookman Old Style" w:ascii="Bookman Old Style" w:hAnsi="Bookman Old Style"/>
          <w:spacing w:val="-5"/>
          <w:sz w:val="15"/>
          <w:szCs w:val="15"/>
        </w:rPr>
        <w:t xml:space="preserve">1170-80)], reprint of 1603 edition (Taipei: </w:t>
      </w:r>
      <w:r>
        <w:rPr>
          <w:rFonts w:cs="Bookman Old Style" w:ascii="Bookman Old Style" w:hAnsi="Bookman Old Style"/>
          <w:spacing w:val="-4"/>
          <w:sz w:val="15"/>
          <w:szCs w:val="15"/>
        </w:rPr>
        <w:t>Xinxing, 1969), 29: 16.</w:t>
      </w:r>
    </w:p>
    <w:p>
      <w:pPr>
        <w:pStyle w:val="Normal"/>
        <w:numPr>
          <w:ilvl w:val="0"/>
          <w:numId w:val="3"/>
        </w:numPr>
        <w:tabs>
          <w:tab w:val="clear" w:pos="720"/>
          <w:tab w:val="left" w:pos="288" w:leader="none"/>
        </w:tabs>
        <w:spacing w:lineRule="auto" w:line="290" w:before="252" w:after="0"/>
        <w:ind w:start="0" w:end="72" w:firstLine="72"/>
        <w:rPr/>
      </w:pPr>
      <w:r>
        <w:rPr>
          <w:rFonts w:cs="Bookman Old Style" w:ascii="Bookman Old Style" w:hAnsi="Bookman Old Style"/>
          <w:spacing w:val="-1"/>
          <w:sz w:val="15"/>
          <w:szCs w:val="15"/>
        </w:rPr>
        <w:t xml:space="preserve">Jessica Rawson, "The Ornament on </w:t>
      </w:r>
      <w:r>
        <w:rPr>
          <w:rFonts w:cs="Bookman Old Style" w:ascii="Bookman Old Style" w:hAnsi="Bookman Old Style"/>
          <w:sz w:val="15"/>
          <w:szCs w:val="15"/>
        </w:rPr>
        <w:t xml:space="preserve">Chinese Silver in the Tang dynasty (AD </w:t>
      </w:r>
      <w:r>
        <w:rPr>
          <w:rFonts w:cs="Bookman Old Style" w:ascii="Bookman Old Style" w:hAnsi="Bookman Old Style"/>
          <w:spacing w:val="-6"/>
          <w:sz w:val="15"/>
          <w:szCs w:val="15"/>
        </w:rPr>
        <w:t xml:space="preserve">618-906)," </w:t>
      </w:r>
      <w:r>
        <w:rPr>
          <w:i/>
          <w:iCs/>
          <w:spacing w:val="-6"/>
          <w:sz w:val="17"/>
          <w:szCs w:val="17"/>
        </w:rPr>
        <w:t xml:space="preserve">British Museum Occasional Paper, </w:t>
      </w:r>
      <w:r>
        <w:rPr>
          <w:rFonts w:cs="Bookman Old Style" w:ascii="Bookman Old Style" w:hAnsi="Bookman Old Style"/>
          <w:spacing w:val="-4"/>
          <w:sz w:val="15"/>
          <w:szCs w:val="15"/>
        </w:rPr>
        <w:t>no. 40 (London: British Museum, 5982), 1.</w:t>
      </w:r>
    </w:p>
    <w:p>
      <w:pPr>
        <w:pStyle w:val="Normal"/>
        <w:numPr>
          <w:ilvl w:val="0"/>
          <w:numId w:val="3"/>
        </w:numPr>
        <w:tabs>
          <w:tab w:val="clear" w:pos="720"/>
          <w:tab w:val="left" w:pos="288" w:leader="none"/>
        </w:tabs>
        <w:spacing w:lineRule="auto" w:line="276" w:before="216" w:after="0"/>
        <w:rPr/>
      </w:pPr>
      <w:r>
        <w:rPr>
          <w:rFonts w:cs="Bookman Old Style" w:ascii="Bookman Old Style" w:hAnsi="Bookman Old Style"/>
          <w:spacing w:val="-5"/>
          <w:sz w:val="15"/>
          <w:szCs w:val="15"/>
        </w:rPr>
        <w:t xml:space="preserve">Ryoichi Hayashi, </w:t>
      </w:r>
      <w:r>
        <w:rPr>
          <w:i/>
          <w:iCs/>
          <w:spacing w:val="-5"/>
          <w:sz w:val="17"/>
          <w:szCs w:val="17"/>
        </w:rPr>
        <w:t xml:space="preserve">The Silk Road and the </w:t>
      </w:r>
      <w:r>
        <w:rPr>
          <w:i/>
          <w:iCs/>
          <w:spacing w:val="-3"/>
          <w:sz w:val="17"/>
          <w:szCs w:val="17"/>
        </w:rPr>
        <w:t xml:space="preserve">ShOsii-in, </w:t>
      </w:r>
      <w:r>
        <w:rPr>
          <w:rFonts w:cs="Bookman Old Style" w:ascii="Bookman Old Style" w:hAnsi="Bookman Old Style"/>
          <w:spacing w:val="-3"/>
          <w:sz w:val="15"/>
          <w:szCs w:val="15"/>
        </w:rPr>
        <w:t xml:space="preserve">trans. Robert Ricketts, vol. 6 of </w:t>
      </w:r>
      <w:r>
        <w:rPr>
          <w:i/>
          <w:iCs/>
          <w:spacing w:val="-5"/>
          <w:sz w:val="17"/>
          <w:szCs w:val="17"/>
        </w:rPr>
        <w:t xml:space="preserve">Heibonsha Survey ofJapanese Art </w:t>
      </w:r>
      <w:r>
        <w:rPr>
          <w:rFonts w:cs="Bookman Old Style" w:ascii="Bookman Old Style" w:hAnsi="Bookman Old Style"/>
          <w:spacing w:val="-5"/>
          <w:sz w:val="15"/>
          <w:szCs w:val="15"/>
        </w:rPr>
        <w:t xml:space="preserve">(NewYork: </w:t>
      </w:r>
      <w:r>
        <w:rPr>
          <w:rFonts w:cs="Bookman Old Style" w:ascii="Bookman Old Style" w:hAnsi="Bookman Old Style"/>
          <w:spacing w:val="-4"/>
          <w:sz w:val="15"/>
          <w:szCs w:val="15"/>
        </w:rPr>
        <w:t xml:space="preserve">Weatherhill, </w:t>
      </w:r>
      <w:r>
        <w:rPr>
          <w:rFonts w:cs="Bookman Old Style" w:ascii="Bookman Old Style" w:hAnsi="Bookman Old Style"/>
          <w:spacing w:val="-4"/>
          <w:sz w:val="15"/>
          <w:szCs w:val="15"/>
          <w:vertAlign w:val="superscript"/>
        </w:rPr>
        <w:t>1</w:t>
      </w:r>
      <w:r>
        <w:rPr>
          <w:rFonts w:cs="Bookman Old Style" w:ascii="Bookman Old Style" w:hAnsi="Bookman Old Style"/>
          <w:spacing w:val="-4"/>
          <w:sz w:val="15"/>
          <w:szCs w:val="15"/>
        </w:rPr>
        <w:t>975), 34-62.</w:t>
      </w:r>
    </w:p>
    <w:p>
      <w:pPr>
        <w:pStyle w:val="Normal"/>
        <w:numPr>
          <w:ilvl w:val="0"/>
          <w:numId w:val="3"/>
        </w:numPr>
        <w:tabs>
          <w:tab w:val="clear" w:pos="720"/>
          <w:tab w:val="left" w:pos="288" w:leader="none"/>
        </w:tabs>
        <w:spacing w:lineRule="auto" w:line="295" w:before="252" w:after="0"/>
        <w:ind w:start="0" w:end="288" w:firstLine="72"/>
        <w:rPr/>
      </w:pPr>
      <w:r>
        <w:rPr>
          <w:rFonts w:cs="Bookman Old Style" w:ascii="Bookman Old Style" w:hAnsi="Bookman Old Style"/>
          <w:spacing w:val="-9"/>
          <w:sz w:val="15"/>
          <w:szCs w:val="15"/>
        </w:rPr>
        <w:t xml:space="preserve">The TLV pattern resembles the three </w:t>
      </w:r>
      <w:r>
        <w:rPr>
          <w:rFonts w:cs="Bookman Old Style" w:ascii="Bookman Old Style" w:hAnsi="Bookman Old Style"/>
          <w:sz w:val="15"/>
          <w:szCs w:val="15"/>
        </w:rPr>
        <w:t xml:space="preserve">Roman letters; it is thought to have </w:t>
      </w:r>
      <w:r>
        <w:rPr>
          <w:rFonts w:cs="Bookman Old Style" w:ascii="Bookman Old Style" w:hAnsi="Bookman Old Style"/>
          <w:spacing w:val="-2"/>
          <w:sz w:val="15"/>
          <w:szCs w:val="15"/>
        </w:rPr>
        <w:t>cosmological significance.</w:t>
      </w:r>
    </w:p>
    <w:p>
      <w:pPr>
        <w:pStyle w:val="Normal"/>
        <w:numPr>
          <w:ilvl w:val="0"/>
          <w:numId w:val="3"/>
        </w:numPr>
        <w:tabs>
          <w:tab w:val="clear" w:pos="720"/>
          <w:tab w:val="left" w:pos="288" w:leader="none"/>
        </w:tabs>
        <w:spacing w:lineRule="auto" w:line="280" w:before="216" w:after="0"/>
        <w:ind w:start="0" w:end="144" w:firstLine="72"/>
        <w:rPr/>
      </w:pPr>
      <w:r>
        <w:rPr>
          <w:rFonts w:cs="Bookman Old Style" w:ascii="Bookman Old Style" w:hAnsi="Bookman Old Style"/>
          <w:spacing w:val="-2"/>
          <w:sz w:val="15"/>
          <w:szCs w:val="15"/>
        </w:rPr>
        <w:t xml:space="preserve">Hayashi Minao, "Chilgoku kodai ni </w:t>
      </w:r>
      <w:r>
        <w:rPr>
          <w:rFonts w:cs="Bookman Old Style" w:ascii="Bookman Old Style" w:hAnsi="Bookman Old Style"/>
          <w:sz w:val="15"/>
          <w:szCs w:val="15"/>
        </w:rPr>
        <w:t xml:space="preserve">okeru renge no shocho" [The symbol of </w:t>
      </w:r>
      <w:r>
        <w:rPr>
          <w:rFonts w:cs="Bookman Old Style" w:ascii="Bookman Old Style" w:hAnsi="Bookman Old Style"/>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rFonts w:cs="Garamond" w:ascii="Garamond" w:hAnsi="Garamond"/>
          <w:spacing w:val="6"/>
          <w:sz w:val="16"/>
          <w:szCs w:val="16"/>
        </w:rPr>
        <w:t>59 (1987), 1</w:t>
      </w:r>
      <w:r>
        <w:rPr>
          <w:rFonts w:cs="Bookman Old Style" w:ascii="Bookman Old Style" w:hAnsi="Bookman Old Style"/>
          <w:spacing w:val="6"/>
          <w:sz w:val="6"/>
          <w:szCs w:val="6"/>
        </w:rPr>
        <w:t>-</w:t>
      </w:r>
      <w:r>
        <w:rPr>
          <w:rFonts w:cs="Garamond" w:ascii="Garamond" w:hAnsi="Garamond"/>
          <w:spacing w:val="6"/>
          <w:sz w:val="16"/>
          <w:szCs w:val="16"/>
        </w:rPr>
        <w:t>61.</w:t>
      </w:r>
    </w:p>
    <w:p>
      <w:pPr>
        <w:pStyle w:val="Normal"/>
        <w:numPr>
          <w:ilvl w:val="0"/>
          <w:numId w:val="3"/>
        </w:numPr>
        <w:tabs>
          <w:tab w:val="clear" w:pos="720"/>
          <w:tab w:val="left" w:pos="288" w:leader="none"/>
        </w:tabs>
        <w:spacing w:lineRule="auto" w:line="290" w:before="144" w:after="0"/>
        <w:ind w:start="0" w:end="144" w:firstLine="72"/>
        <w:rPr/>
      </w:pPr>
      <w:r>
        <w:rPr>
          <w:rFonts w:cs="Garamond" w:ascii="Garamond" w:hAnsi="Garamond"/>
          <w:spacing w:val="-6"/>
          <w:sz w:val="16"/>
          <w:szCs w:val="16"/>
        </w:rPr>
        <w:t xml:space="preserve">Emperor </w:t>
      </w:r>
      <w:r>
        <w:rPr>
          <w:rFonts w:cs="Bookman Old Style" w:ascii="Bookman Old Style" w:hAnsi="Bookman Old Style"/>
          <w:spacing w:val="-6"/>
          <w:sz w:val="15"/>
          <w:szCs w:val="15"/>
        </w:rPr>
        <w:t xml:space="preserve">Taizong, for instance, ordered </w:t>
      </w:r>
      <w:r>
        <w:rPr>
          <w:rFonts w:cs="Bookman Old Style" w:ascii="Bookman Old Style" w:hAnsi="Bookman Old Style"/>
          <w:spacing w:val="-3"/>
          <w:sz w:val="15"/>
          <w:szCs w:val="15"/>
        </w:rPr>
        <w:t>just such a careful official record in</w:t>
      </w:r>
    </w:p>
    <w:p>
      <w:pPr>
        <w:pStyle w:val="Normal"/>
        <w:spacing w:lineRule="auto" w:line="292"/>
        <w:rPr/>
      </w:pPr>
      <w:r>
        <w:rPr>
          <w:rFonts w:cs="Bookman Old Style" w:ascii="Bookman Old Style" w:hAnsi="Bookman Old Style"/>
          <w:sz w:val="15"/>
          <w:szCs w:val="15"/>
        </w:rPr>
        <w:t xml:space="preserve">647. See </w:t>
      </w:r>
      <w:r>
        <w:rPr>
          <w:i/>
          <w:iCs/>
          <w:sz w:val="17"/>
          <w:szCs w:val="17"/>
        </w:rPr>
        <w:t xml:space="preserve">Tang hui yao </w:t>
      </w:r>
      <w:r>
        <w:rPr>
          <w:rFonts w:cs="Bookman Old Style" w:ascii="Bookman Old Style" w:hAnsi="Bookman Old Style"/>
          <w:sz w:val="15"/>
          <w:szCs w:val="15"/>
        </w:rPr>
        <w:t xml:space="preserve">[Tang dynasty </w:t>
      </w:r>
      <w:r>
        <w:rPr>
          <w:rFonts w:cs="Bookman Old Style" w:ascii="Bookman Old Style" w:hAnsi="Bookman Old Style"/>
          <w:spacing w:val="-4"/>
          <w:sz w:val="15"/>
          <w:szCs w:val="15"/>
        </w:rPr>
        <w:t xml:space="preserve">encyclopedia] (Taipei: Shi jie shu ju, 1960), </w:t>
      </w:r>
      <w:r>
        <w:rPr>
          <w:rFonts w:cs="Bookman Old Style" w:ascii="Bookman Old Style" w:hAnsi="Bookman Old Style"/>
          <w:spacing w:val="-10"/>
          <w:sz w:val="15"/>
          <w:szCs w:val="15"/>
        </w:rPr>
        <w:t>100: 1796.</w:t>
      </w:r>
      <w:r>
        <w:br w:type="page"/>
      </w:r>
    </w:p>
    <w:p>
      <w:pPr>
        <w:pStyle w:val="Normal"/>
        <w:numPr>
          <w:ilvl w:val="0"/>
          <w:numId w:val="4"/>
        </w:numPr>
        <w:tabs>
          <w:tab w:val="clear" w:pos="720"/>
          <w:tab w:val="left" w:pos="360" w:leader="none"/>
        </w:tabs>
        <w:spacing w:lineRule="auto" w:line="292"/>
        <w:ind w:start="0" w:end="72" w:firstLine="72"/>
        <w:rPr/>
      </w:pPr>
      <w:r>
        <w:rPr>
          <w:rFonts w:cs="Bookman Old Style" w:ascii="Bookman Old Style" w:hAnsi="Bookman Old Style"/>
          <w:spacing w:val="3"/>
          <w:sz w:val="15"/>
          <w:szCs w:val="15"/>
        </w:rPr>
        <w:t xml:space="preserve">At least fifteen animal-and-grape </w:t>
      </w:r>
      <w:r>
        <w:rPr>
          <w:rFonts w:cs="Bookman Old Style" w:ascii="Bookman Old Style" w:hAnsi="Bookman Old Style"/>
          <w:spacing w:val="-1"/>
          <w:sz w:val="15"/>
          <w:szCs w:val="15"/>
        </w:rPr>
        <w:t xml:space="preserve">mirrors have been discovered in dated </w:t>
      </w:r>
      <w:r>
        <w:rPr>
          <w:rFonts w:cs="Bookman Old Style" w:ascii="Bookman Old Style" w:hAnsi="Bookman Old Style"/>
          <w:spacing w:val="-4"/>
          <w:sz w:val="15"/>
          <w:szCs w:val="15"/>
        </w:rPr>
        <w:t xml:space="preserve">tombs; the earliest one is dated 664; see </w:t>
      </w:r>
      <w:r>
        <w:rPr>
          <w:i/>
          <w:iCs/>
          <w:spacing w:val="-5"/>
          <w:sz w:val="17"/>
          <w:szCs w:val="17"/>
        </w:rPr>
        <w:t xml:space="preserve">Wenwu, </w:t>
      </w:r>
      <w:r>
        <w:rPr>
          <w:rFonts w:cs="Bookman Old Style" w:ascii="Bookman Old Style" w:hAnsi="Bookman Old Style"/>
          <w:spacing w:val="-5"/>
          <w:sz w:val="15"/>
          <w:szCs w:val="15"/>
        </w:rPr>
        <w:t>no. 7 (</w:t>
      </w:r>
      <w:r>
        <w:rPr>
          <w:rFonts w:cs="Bookman Old Style" w:ascii="Bookman Old Style" w:hAnsi="Bookman Old Style"/>
          <w:spacing w:val="-5"/>
          <w:sz w:val="15"/>
          <w:szCs w:val="15"/>
          <w:vertAlign w:val="superscript"/>
        </w:rPr>
        <w:t>1</w:t>
      </w:r>
      <w:r>
        <w:rPr>
          <w:rFonts w:cs="Bookman Old Style" w:ascii="Bookman Old Style" w:hAnsi="Bookman Old Style"/>
          <w:spacing w:val="-5"/>
          <w:sz w:val="15"/>
          <w:szCs w:val="15"/>
        </w:rPr>
        <w:t>972), 33</w:t>
      </w:r>
      <w:r>
        <w:rPr>
          <w:rFonts w:cs="Bookman Old Style" w:ascii="Bookman Old Style" w:hAnsi="Bookman Old Style"/>
          <w:spacing w:val="-5"/>
          <w:sz w:val="15"/>
          <w:szCs w:val="15"/>
          <w:vertAlign w:val="superscript"/>
        </w:rPr>
        <w:t>-</w:t>
      </w:r>
      <w:r>
        <w:rPr>
          <w:rFonts w:cs="Bookman Old Style" w:ascii="Bookman Old Style" w:hAnsi="Bookman Old Style"/>
          <w:spacing w:val="-5"/>
          <w:sz w:val="15"/>
          <w:szCs w:val="15"/>
        </w:rPr>
        <w:t>4</w:t>
      </w:r>
      <w:r>
        <w:rPr>
          <w:rFonts w:cs="Bookman Old Style" w:ascii="Bookman Old Style" w:hAnsi="Bookman Old Style"/>
          <w:spacing w:val="-5"/>
          <w:sz w:val="15"/>
          <w:szCs w:val="15"/>
          <w:vertAlign w:val="superscript"/>
        </w:rPr>
        <w:t>1</w:t>
      </w:r>
      <w:r>
        <w:rPr>
          <w:rFonts w:cs="Bookman Old Style" w:ascii="Bookman Old Style" w:hAnsi="Bookman Old Style"/>
          <w:spacing w:val="-5"/>
          <w:sz w:val="15"/>
          <w:szCs w:val="15"/>
        </w:rPr>
        <w:t xml:space="preserve">. For the list of </w:t>
      </w:r>
      <w:r>
        <w:rPr>
          <w:rFonts w:cs="Bookman Old Style" w:ascii="Bookman Old Style" w:hAnsi="Bookman Old Style"/>
          <w:spacing w:val="-3"/>
          <w:sz w:val="15"/>
          <w:szCs w:val="15"/>
        </w:rPr>
        <w:t xml:space="preserve">dated tombs with animal-and-grapevine mirrors, see Yen, "Tangdai tongjing," </w:t>
      </w:r>
      <w:r>
        <w:rPr>
          <w:rFonts w:cs="Garamond" w:ascii="Garamond" w:hAnsi="Garamond"/>
          <w:spacing w:val="-3"/>
          <w:sz w:val="16"/>
          <w:szCs w:val="16"/>
        </w:rPr>
        <w:t>335.</w:t>
      </w:r>
    </w:p>
    <w:p>
      <w:pPr>
        <w:pStyle w:val="Normal"/>
        <w:numPr>
          <w:ilvl w:val="0"/>
          <w:numId w:val="4"/>
        </w:numPr>
        <w:tabs>
          <w:tab w:val="clear" w:pos="720"/>
          <w:tab w:val="left" w:pos="360" w:leader="none"/>
        </w:tabs>
        <w:spacing w:lineRule="auto" w:line="290" w:before="180" w:after="0"/>
        <w:ind w:start="0" w:end="216" w:firstLine="72"/>
        <w:rPr/>
      </w:pPr>
      <w:r>
        <w:rPr>
          <w:rFonts w:cs="Bookman Old Style" w:ascii="Bookman Old Style" w:hAnsi="Bookman Old Style"/>
          <w:spacing w:val="5"/>
          <w:sz w:val="15"/>
          <w:szCs w:val="15"/>
        </w:rPr>
        <w:t xml:space="preserve">Schuyler Cammann, "The Lion </w:t>
      </w:r>
      <w:r>
        <w:rPr>
          <w:rFonts w:cs="Bookman Old Style" w:ascii="Bookman Old Style" w:hAnsi="Bookman Old Style"/>
          <w:spacing w:val="-5"/>
          <w:sz w:val="15"/>
          <w:szCs w:val="15"/>
        </w:rPr>
        <w:t xml:space="preserve">and Grape Patterns on Chinese Bronze </w:t>
      </w:r>
      <w:r>
        <w:rPr>
          <w:rFonts w:cs="Bookman Old Style" w:ascii="Bookman Old Style" w:hAnsi="Bookman Old Style"/>
          <w:spacing w:val="1"/>
          <w:sz w:val="15"/>
          <w:szCs w:val="15"/>
        </w:rPr>
        <w:t xml:space="preserve">Mirrors," </w:t>
      </w:r>
      <w:r>
        <w:rPr>
          <w:i/>
          <w:iCs/>
          <w:spacing w:val="1"/>
          <w:sz w:val="17"/>
          <w:szCs w:val="17"/>
        </w:rPr>
        <w:t xml:space="preserve">Artibus Asiae </w:t>
      </w:r>
      <w:r>
        <w:rPr>
          <w:rFonts w:cs="Garamond" w:ascii="Garamond" w:hAnsi="Garamond"/>
          <w:spacing w:val="1"/>
          <w:sz w:val="16"/>
          <w:szCs w:val="16"/>
        </w:rPr>
        <w:t>16 (1953), 265</w:t>
      </w:r>
      <w:r>
        <w:rPr>
          <w:rFonts w:cs="Bookman Old Style" w:ascii="Bookman Old Style" w:hAnsi="Bookman Old Style"/>
          <w:spacing w:val="1"/>
          <w:sz w:val="6"/>
          <w:szCs w:val="6"/>
        </w:rPr>
        <w:t>-</w:t>
      </w:r>
      <w:r>
        <w:rPr>
          <w:rFonts w:cs="Garamond" w:ascii="Garamond" w:hAnsi="Garamond"/>
          <w:spacing w:val="1"/>
          <w:sz w:val="16"/>
          <w:szCs w:val="16"/>
        </w:rPr>
        <w:t>91.</w:t>
      </w:r>
    </w:p>
    <w:p>
      <w:pPr>
        <w:pStyle w:val="Normal"/>
        <w:spacing w:lineRule="auto" w:line="283" w:before="216" w:after="0"/>
        <w:ind w:end="216" w:hanging="0"/>
        <w:rPr/>
      </w:pPr>
      <w:r>
        <w:rPr>
          <w:rFonts w:cs="Garamond" w:ascii="Garamond" w:hAnsi="Garamond"/>
          <w:spacing w:val="7"/>
          <w:sz w:val="16"/>
          <w:szCs w:val="16"/>
        </w:rPr>
        <w:t xml:space="preserve">12.The inscription was </w:t>
      </w:r>
      <w:r>
        <w:rPr>
          <w:rFonts w:cs="Bookman Old Style" w:ascii="Bookman Old Style" w:hAnsi="Bookman Old Style"/>
          <w:spacing w:val="7"/>
          <w:sz w:val="15"/>
          <w:szCs w:val="15"/>
        </w:rPr>
        <w:t xml:space="preserve">first published </w:t>
      </w:r>
      <w:r>
        <w:rPr>
          <w:rFonts w:cs="Bookman Old Style" w:ascii="Bookman Old Style" w:hAnsi="Bookman Old Style"/>
          <w:spacing w:val="-2"/>
          <w:sz w:val="15"/>
          <w:szCs w:val="15"/>
        </w:rPr>
        <w:t xml:space="preserve">by Umehara Sueharu, </w:t>
      </w:r>
      <w:r>
        <w:rPr>
          <w:i/>
          <w:iCs/>
          <w:spacing w:val="-2"/>
          <w:sz w:val="17"/>
          <w:szCs w:val="17"/>
        </w:rPr>
        <w:t xml:space="preserve">Toky5Taikan </w:t>
      </w:r>
      <w:r>
        <w:rPr>
          <w:rFonts w:cs="Bookman Old Style" w:ascii="Bookman Old Style" w:hAnsi="Bookman Old Style"/>
          <w:sz w:val="15"/>
          <w:szCs w:val="15"/>
        </w:rPr>
        <w:t xml:space="preserve">[Conspectus ofTang mirrors] (Kyoto: </w:t>
      </w:r>
      <w:r>
        <w:rPr>
          <w:rFonts w:cs="Bookman Old Style" w:ascii="Bookman Old Style" w:hAnsi="Bookman Old Style"/>
          <w:spacing w:val="-2"/>
          <w:sz w:val="15"/>
          <w:szCs w:val="15"/>
        </w:rPr>
        <w:t xml:space="preserve">Dohosha, 1984, reprint of </w:t>
      </w:r>
      <w:r>
        <w:rPr>
          <w:rFonts w:cs="Garamond" w:ascii="Garamond" w:hAnsi="Garamond"/>
          <w:spacing w:val="-2"/>
          <w:sz w:val="16"/>
          <w:szCs w:val="16"/>
        </w:rPr>
        <w:t xml:space="preserve">1945 </w:t>
      </w:r>
      <w:r>
        <w:rPr>
          <w:rFonts w:cs="Bookman Old Style" w:ascii="Bookman Old Style" w:hAnsi="Bookman Old Style"/>
          <w:spacing w:val="-2"/>
          <w:sz w:val="15"/>
          <w:szCs w:val="15"/>
        </w:rPr>
        <w:t xml:space="preserve">edition), </w:t>
      </w:r>
      <w:r>
        <w:rPr>
          <w:rFonts w:cs="Bookman Old Style" w:ascii="Bookman Old Style" w:hAnsi="Bookman Old Style"/>
          <w:spacing w:val="4"/>
          <w:sz w:val="15"/>
          <w:szCs w:val="15"/>
        </w:rPr>
        <w:t xml:space="preserve">pl. 99b and pp. </w:t>
      </w:r>
      <w:r>
        <w:rPr>
          <w:rFonts w:cs="Garamond" w:ascii="Garamond" w:hAnsi="Garamond"/>
          <w:spacing w:val="4"/>
          <w:sz w:val="14"/>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rFonts w:cs="Bookman Old Style" w:ascii="Bookman Old Style" w:hAnsi="Bookman Old Style"/>
          <w:spacing w:val="-5"/>
          <w:sz w:val="15"/>
          <w:szCs w:val="15"/>
        </w:rPr>
        <w:t xml:space="preserve">Sofukawa Hiroshi, "Kandai gazoseki </w:t>
      </w:r>
      <w:r>
        <w:rPr>
          <w:rFonts w:cs="Bookman Old Style" w:ascii="Bookman Old Style" w:hAnsi="Bookman Old Style"/>
          <w:spacing w:val="-1"/>
          <w:sz w:val="15"/>
          <w:szCs w:val="15"/>
        </w:rPr>
        <w:t xml:space="preserve">niokeru shosenzu no keifu" [The lineage of ascending immortals in the pictorial </w:t>
      </w:r>
      <w:r>
        <w:rPr>
          <w:rFonts w:cs="Bookman Old Style" w:ascii="Bookman Old Style" w:hAnsi="Bookman Old Style"/>
          <w:sz w:val="15"/>
          <w:szCs w:val="15"/>
        </w:rPr>
        <w:t xml:space="preserve">stone of the Han dynasty], </w:t>
      </w:r>
      <w:r>
        <w:rPr>
          <w:i/>
          <w:iCs/>
          <w:sz w:val="17"/>
          <w:szCs w:val="17"/>
        </w:rPr>
        <w:t xml:space="preserve">Toho Gakuho </w:t>
      </w:r>
      <w:r>
        <w:rPr>
          <w:i/>
          <w:iCs/>
          <w:spacing w:val="12"/>
          <w:sz w:val="17"/>
          <w:szCs w:val="17"/>
        </w:rPr>
        <w:t xml:space="preserve">65 </w:t>
      </w:r>
      <w:r>
        <w:rPr>
          <w:rFonts w:cs="Garamond" w:ascii="Garamond" w:hAnsi="Garamond"/>
          <w:spacing w:val="12"/>
          <w:sz w:val="14"/>
          <w:szCs w:val="14"/>
        </w:rPr>
        <w:t>(1993), 23-221.</w:t>
      </w:r>
    </w:p>
    <w:p>
      <w:pPr>
        <w:pStyle w:val="Normal"/>
        <w:rPr/>
      </w:pPr>
      <w:r>
        <w:rPr>
          <w:i/>
          <w:iCs/>
          <w:spacing w:val="-4"/>
          <w:sz w:val="17"/>
          <w:szCs w:val="17"/>
        </w:rPr>
        <w:t xml:space="preserve">Wenwu, </w:t>
      </w:r>
      <w:r>
        <w:rPr>
          <w:rFonts w:cs="Bookman Old Style" w:ascii="Bookman Old Style" w:hAnsi="Bookman Old Style"/>
          <w:spacing w:val="-4"/>
          <w:sz w:val="15"/>
          <w:szCs w:val="15"/>
        </w:rPr>
        <w:t>no. 5 (1956), 41</w:t>
      </w:r>
    </w:p>
    <w:sectPr>
      <w:footerReference w:type="default" r:id="rId34"/>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6">
              <wp:simplePos x="0" y="0"/>
              <wp:positionH relativeFrom="page">
                <wp:posOffset>719455</wp:posOffset>
              </wp:positionH>
              <wp:positionV relativeFrom="paragraph">
                <wp:posOffset>635</wp:posOffset>
              </wp:positionV>
              <wp:extent cx="6128385" cy="129540"/>
              <wp:effectExtent l="0" t="0" r="0" b="0"/>
              <wp:wrapSquare wrapText="bothSides"/>
              <wp:docPr id="59" name="Frame15"/>
              <a:graphic xmlns:a="http://schemas.openxmlformats.org/drawingml/2006/main">
                <a:graphicData uri="http://schemas.microsoft.com/office/word/2010/wordprocessingShape">
                  <wps:wsp>
                    <wps:cNvSpPr txBox="1"/>
                    <wps:spPr>
                      <a:xfrm>
                        <a:off x="0" y="0"/>
                        <a:ext cx="6128385" cy="129540"/>
                      </a:xfrm>
                      <a:prstGeom prst="rect"/>
                      <a:solidFill>
                        <a:srgbClr val="FFFFFF">
                          <a:alpha val="0"/>
                        </a:srgbClr>
                      </a:solidFill>
                    </wps:spPr>
                    <wps:txbx>
                      <w:txbxContent>
                        <w:p>
                          <w:pPr>
                            <w:pStyle w:val="Normal"/>
                            <w:keepNext w:val="true"/>
                            <w:keepLines/>
                            <w:ind w:start="3312" w:hanging="0"/>
                            <w:rPr>
                              <w:rFonts w:ascii="Garamond" w:hAnsi="Garamond" w:cs="Garamond"/>
                              <w:sz w:val="22"/>
                              <w:szCs w:val="22"/>
                            </w:rPr>
                          </w:pPr>
                          <w:r>
                            <w:rPr>
                              <w:rFonts w:cs="Garamond" w:ascii="Garamond" w:hAnsi="Garamond"/>
                              <w:sz w:val="22"/>
                              <w:szCs w:val="22"/>
                            </w:rPr>
                            <w:fldChar w:fldCharType="begin"/>
                          </w:r>
                          <w:r>
                            <w:rPr>
                              <w:sz w:val="22"/>
                              <w:szCs w:val="22"/>
                              <w:rFonts w:cs="Garamond" w:ascii="Garamond" w:hAnsi="Garamond"/>
                            </w:rPr>
                            <w:instrText> PAGE </w:instrText>
                          </w:r>
                          <w:r>
                            <w:rPr>
                              <w:sz w:val="22"/>
                              <w:szCs w:val="22"/>
                              <w:rFonts w:cs="Garamond" w:ascii="Garamond" w:hAnsi="Garamond"/>
                            </w:rPr>
                            <w:fldChar w:fldCharType="separate"/>
                          </w:r>
                          <w:r>
                            <w:rPr>
                              <w:sz w:val="22"/>
                              <w:szCs w:val="22"/>
                              <w:rFonts w:cs="Garamond" w:ascii="Garamond" w:hAnsi="Garamond"/>
                            </w:rPr>
                            <w:t>12</w:t>
                          </w:r>
                          <w:r>
                            <w:rPr>
                              <w:sz w:val="22"/>
                              <w:szCs w:val="22"/>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82.55pt;height:10.2pt;mso-wrap-distance-left:0pt;mso-wrap-distance-right:0pt;mso-wrap-distance-top:0pt;mso-wrap-distance-bottom:0pt;margin-top:0pt;mso-position-vertical-relative:text;margin-left:56.65pt;mso-position-horizontal-relative:page">
              <v:fill opacity="0f"/>
              <v:textbox inset="0.000694444444444444in,0.000694444444444444in,0.000694444444444444in,0.000694444444444444in">
                <w:txbxContent>
                  <w:p>
                    <w:pPr>
                      <w:pStyle w:val="Normal"/>
                      <w:keepNext w:val="true"/>
                      <w:keepLines/>
                      <w:ind w:start="3312" w:hanging="0"/>
                      <w:rPr>
                        <w:rFonts w:ascii="Garamond" w:hAnsi="Garamond" w:cs="Garamond"/>
                        <w:sz w:val="22"/>
                        <w:szCs w:val="22"/>
                      </w:rPr>
                    </w:pPr>
                    <w:r>
                      <w:rPr>
                        <w:rFonts w:cs="Garamond" w:ascii="Garamond" w:hAnsi="Garamond"/>
                        <w:sz w:val="22"/>
                        <w:szCs w:val="22"/>
                      </w:rPr>
                      <w:fldChar w:fldCharType="begin"/>
                    </w:r>
                    <w:r>
                      <w:rPr>
                        <w:sz w:val="22"/>
                        <w:szCs w:val="22"/>
                        <w:rFonts w:cs="Garamond" w:ascii="Garamond" w:hAnsi="Garamond"/>
                      </w:rPr>
                      <w:instrText> PAGE </w:instrText>
                    </w:r>
                    <w:r>
                      <w:rPr>
                        <w:sz w:val="22"/>
                        <w:szCs w:val="22"/>
                        <w:rFonts w:cs="Garamond" w:ascii="Garamond" w:hAnsi="Garamond"/>
                      </w:rPr>
                      <w:fldChar w:fldCharType="separate"/>
                    </w:r>
                    <w:r>
                      <w:rPr>
                        <w:sz w:val="22"/>
                        <w:szCs w:val="22"/>
                        <w:rFonts w:cs="Garamond" w:ascii="Garamond" w:hAnsi="Garamond"/>
                      </w:rPr>
                      <w:t>12</w:t>
                    </w:r>
                    <w:r>
                      <w:rPr>
                        <w:sz w:val="22"/>
                        <w:szCs w:val="22"/>
                        <w:rFonts w:cs="Garamond" w:ascii="Garamond" w:hAnsi="Garamond"/>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7">
              <wp:simplePos x="0" y="0"/>
              <wp:positionH relativeFrom="page">
                <wp:posOffset>2602865</wp:posOffset>
              </wp:positionH>
              <wp:positionV relativeFrom="paragraph">
                <wp:posOffset>635</wp:posOffset>
              </wp:positionV>
              <wp:extent cx="4032250" cy="116205"/>
              <wp:effectExtent l="0" t="0" r="0" b="0"/>
              <wp:wrapSquare wrapText="bothSides"/>
              <wp:docPr id="60" name="Frame16"/>
              <a:graphic xmlns:a="http://schemas.openxmlformats.org/drawingml/2006/main">
                <a:graphicData uri="http://schemas.microsoft.com/office/word/2010/wordprocessingShape">
                  <wps:wsp>
                    <wps:cNvSpPr txBox="1"/>
                    <wps:spPr>
                      <a:xfrm>
                        <a:off x="0" y="0"/>
                        <a:ext cx="4032250" cy="116205"/>
                      </a:xfrm>
                      <a:prstGeom prst="rect"/>
                      <a:solidFill>
                        <a:srgbClr val="FFFFFF">
                          <a:alpha val="0"/>
                        </a:srgbClr>
                      </a:solidFill>
                    </wps:spPr>
                    <wps:txbx>
                      <w:txbxContent>
                        <w:p>
                          <w:pPr>
                            <w:pStyle w:val="Normal"/>
                            <w:keepNext w:val="true"/>
                            <w:keepLines/>
                            <w:rPr>
                              <w:rFonts w:ascii="Bookman Old Style" w:hAnsi="Bookman Old Style" w:cs="Bookman Old Style"/>
                              <w:sz w:val="19"/>
                              <w:szCs w:val="19"/>
                            </w:rPr>
                          </w:pPr>
                          <w:r>
                            <w:rPr>
                              <w:rFonts w:cs="Bookman Old Style" w:ascii="Bookman Old Style" w:hAnsi="Bookman Old Style"/>
                              <w:sz w:val="19"/>
                              <w:szCs w:val="19"/>
                            </w:rPr>
                            <w:fldChar w:fldCharType="begin"/>
                          </w:r>
                          <w:r>
                            <w:rPr>
                              <w:sz w:val="19"/>
                              <w:szCs w:val="19"/>
                              <w:rFonts w:cs="Bookman Old Style" w:ascii="Bookman Old Style" w:hAnsi="Bookman Old Style"/>
                            </w:rPr>
                            <w:instrText> PAGE </w:instrText>
                          </w:r>
                          <w:r>
                            <w:rPr>
                              <w:sz w:val="19"/>
                              <w:szCs w:val="19"/>
                              <w:rFonts w:cs="Bookman Old Style" w:ascii="Bookman Old Style" w:hAnsi="Bookman Old Style"/>
                            </w:rPr>
                            <w:fldChar w:fldCharType="separate"/>
                          </w:r>
                          <w:r>
                            <w:rPr>
                              <w:sz w:val="19"/>
                              <w:szCs w:val="19"/>
                              <w:rFonts w:cs="Bookman Old Style" w:ascii="Bookman Old Style" w:hAnsi="Bookman Old Style"/>
                            </w:rPr>
                            <w:t>14</w:t>
                          </w:r>
                          <w:r>
                            <w:rPr>
                              <w:sz w:val="19"/>
                              <w:szCs w:val="19"/>
                              <w:rFonts w:cs="Bookman Old Style" w:ascii="Bookman Old Style" w:hAnsi="Bookman Old Style"/>
                            </w:rPr>
                            <w:fldChar w:fldCharType="end"/>
                          </w:r>
                        </w:p>
                      </w:txbxContent>
                    </wps:txbx>
                    <wps:bodyPr anchor="t" lIns="635" tIns="635" rIns="635" bIns="635">
                      <a:noAutofit/>
                    </wps:bodyPr>
                  </wps:wsp>
                </a:graphicData>
              </a:graphic>
            </wp:anchor>
          </w:drawing>
        </mc:Choice>
        <mc:Fallback>
          <w:pict>
            <v:rect fillcolor="#FFFFFF" style="position:absolute;rotation:0;width:317.5pt;height:9.15pt;mso-wrap-distance-left:0pt;mso-wrap-distance-right:0pt;mso-wrap-distance-top:0pt;mso-wrap-distance-bottom:0pt;margin-top:0pt;mso-position-vertical-relative:text;margin-left:204.95pt;mso-position-horizontal-relative:page">
              <v:fill opacity="0f"/>
              <v:textbox inset="0.000694444444444444in,0.000694444444444444in,0.000694444444444444in,0.000694444444444444in">
                <w:txbxContent>
                  <w:p>
                    <w:pPr>
                      <w:pStyle w:val="Normal"/>
                      <w:keepNext w:val="true"/>
                      <w:keepLines/>
                      <w:rPr>
                        <w:rFonts w:ascii="Bookman Old Style" w:hAnsi="Bookman Old Style" w:cs="Bookman Old Style"/>
                        <w:sz w:val="19"/>
                        <w:szCs w:val="19"/>
                      </w:rPr>
                    </w:pPr>
                    <w:r>
                      <w:rPr>
                        <w:rFonts w:cs="Bookman Old Style" w:ascii="Bookman Old Style" w:hAnsi="Bookman Old Style"/>
                        <w:sz w:val="19"/>
                        <w:szCs w:val="19"/>
                      </w:rPr>
                      <w:fldChar w:fldCharType="begin"/>
                    </w:r>
                    <w:r>
                      <w:rPr>
                        <w:sz w:val="19"/>
                        <w:szCs w:val="19"/>
                        <w:rFonts w:cs="Bookman Old Style" w:ascii="Bookman Old Style" w:hAnsi="Bookman Old Style"/>
                      </w:rPr>
                      <w:instrText> PAGE </w:instrText>
                    </w:r>
                    <w:r>
                      <w:rPr>
                        <w:sz w:val="19"/>
                        <w:szCs w:val="19"/>
                        <w:rFonts w:cs="Bookman Old Style" w:ascii="Bookman Old Style" w:hAnsi="Bookman Old Style"/>
                      </w:rPr>
                      <w:fldChar w:fldCharType="separate"/>
                    </w:r>
                    <w:r>
                      <w:rPr>
                        <w:sz w:val="19"/>
                        <w:szCs w:val="19"/>
                        <w:rFonts w:cs="Bookman Old Style" w:ascii="Bookman Old Style" w:hAnsi="Bookman Old Style"/>
                      </w:rPr>
                      <w:t>14</w:t>
                    </w:r>
                    <w:r>
                      <w:rPr>
                        <w:sz w:val="19"/>
                        <w:szCs w:val="19"/>
                        <w:rFonts w:cs="Bookman Old Style" w:ascii="Bookman Old Style" w:hAnsi="Bookman Old Style"/>
                      </w:rPr>
                      <w:fldChar w:fldCharType="end"/>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8">
              <wp:simplePos x="0" y="0"/>
              <wp:positionH relativeFrom="page">
                <wp:posOffset>2707005</wp:posOffset>
              </wp:positionH>
              <wp:positionV relativeFrom="paragraph">
                <wp:posOffset>635</wp:posOffset>
              </wp:positionV>
              <wp:extent cx="4032250" cy="84455"/>
              <wp:effectExtent l="0" t="0" r="0" b="0"/>
              <wp:wrapSquare wrapText="bothSides"/>
              <wp:docPr id="61" name="Frame17"/>
              <a:graphic xmlns:a="http://schemas.openxmlformats.org/drawingml/2006/main">
                <a:graphicData uri="http://schemas.microsoft.com/office/word/2010/wordprocessingShape">
                  <wps:wsp>
                    <wps:cNvSpPr txBox="1"/>
                    <wps:spPr>
                      <a:xfrm>
                        <a:off x="0" y="0"/>
                        <a:ext cx="4032250" cy="84455"/>
                      </a:xfrm>
                      <a:prstGeom prst="rect"/>
                      <a:solidFill>
                        <a:srgbClr val="FFFFFF">
                          <a:alpha val="0"/>
                        </a:srgbClr>
                      </a:solidFill>
                    </wps:spPr>
                    <wps:txbx>
                      <w:txbxContent>
                        <w:p>
                          <w:pPr>
                            <w:pStyle w:val="Normal"/>
                            <w:keepNext w:val="true"/>
                            <w:keepLines/>
                            <w:rPr/>
                          </w:pPr>
                          <w:r>
                            <w:rPr>
                              <w:rFonts w:cs="Bookman Old Style" w:ascii="Bookman Old Style" w:hAnsi="Bookman Old Style"/>
                              <w:w w:val="170"/>
                              <w:sz w:val="13"/>
                              <w:szCs w:val="13"/>
                            </w:rPr>
                            <w:t>I</w:t>
                          </w:r>
                          <w:r>
                            <w:rPr>
                              <w:rFonts w:cs="Bookman Old Style" w:ascii="Bookman Old Style" w:hAnsi="Bookman Old Style"/>
                              <w:w w:val="130"/>
                              <w:sz w:val="14"/>
                              <w:szCs w:val="14"/>
                            </w:rPr>
                            <w:t>0</w:t>
                          </w:r>
                        </w:p>
                      </w:txbxContent>
                    </wps:txbx>
                    <wps:bodyPr anchor="t" lIns="635" tIns="635" rIns="635" bIns="635">
                      <a:noAutofit/>
                    </wps:bodyPr>
                  </wps:wsp>
                </a:graphicData>
              </a:graphic>
            </wp:anchor>
          </w:drawing>
        </mc:Choice>
        <mc:Fallback>
          <w:pict>
            <v:rect fillcolor="#FFFFFF" style="position:absolute;rotation:0;width:317.5pt;height:6.65pt;mso-wrap-distance-left:0pt;mso-wrap-distance-right:0pt;mso-wrap-distance-top:0pt;mso-wrap-distance-bottom:0pt;margin-top:0pt;mso-position-vertical-relative:text;margin-left:213.15pt;mso-position-horizontal-relative:page">
              <v:fill opacity="0f"/>
              <v:textbox inset="0.000694444444444444in,0.000694444444444444in,0.000694444444444444in,0.000694444444444444in">
                <w:txbxContent>
                  <w:p>
                    <w:pPr>
                      <w:pStyle w:val="Normal"/>
                      <w:keepNext w:val="true"/>
                      <w:keepLines/>
                      <w:rPr/>
                    </w:pPr>
                    <w:r>
                      <w:rPr>
                        <w:rFonts w:cs="Bookman Old Style" w:ascii="Bookman Old Style" w:hAnsi="Bookman Old Style"/>
                        <w:w w:val="170"/>
                        <w:sz w:val="13"/>
                        <w:szCs w:val="13"/>
                      </w:rPr>
                      <w:t>I</w:t>
                    </w:r>
                    <w:r>
                      <w:rPr>
                        <w:rFonts w:cs="Bookman Old Style" w:ascii="Bookman Old Style" w:hAnsi="Bookman Old Style"/>
                        <w:w w:val="130"/>
                        <w:sz w:val="14"/>
                        <w:szCs w:val="14"/>
                      </w:rPr>
                      <w:t>0</w:t>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1">
              <wp:simplePos x="0" y="0"/>
              <wp:positionH relativeFrom="page">
                <wp:posOffset>2465705</wp:posOffset>
              </wp:positionH>
              <wp:positionV relativeFrom="paragraph">
                <wp:posOffset>635</wp:posOffset>
              </wp:positionV>
              <wp:extent cx="4038600" cy="111125"/>
              <wp:effectExtent l="0" t="0" r="0" b="0"/>
              <wp:wrapSquare wrapText="bothSides"/>
              <wp:docPr id="45" name="Frame10"/>
              <a:graphic xmlns:a="http://schemas.openxmlformats.org/drawingml/2006/main">
                <a:graphicData uri="http://schemas.microsoft.com/office/word/2010/wordprocessingShape">
                  <wps:wsp>
                    <wps:cNvSpPr txBox="1"/>
                    <wps:spPr>
                      <a:xfrm>
                        <a:off x="0" y="0"/>
                        <a:ext cx="4038600" cy="111125"/>
                      </a:xfrm>
                      <a:prstGeom prst="rect"/>
                      <a:solidFill>
                        <a:srgbClr val="FFFFFF">
                          <a:alpha val="0"/>
                        </a:srgbClr>
                      </a:solidFill>
                    </wps:spPr>
                    <wps:txbx>
                      <w:txbxContent>
                        <w:p>
                          <w:pPr>
                            <w:pStyle w:val="Normal"/>
                            <w:keepNext w:val="true"/>
                            <w:keepLines/>
                            <w:rPr>
                              <w:rFonts w:ascii="Bookman Old Style" w:hAnsi="Bookman Old Style" w:cs="Bookman Old Style"/>
                              <w:sz w:val="17"/>
                              <w:szCs w:val="17"/>
                            </w:rPr>
                          </w:pPr>
                          <w:r>
                            <w:rPr>
                              <w:rFonts w:cs="Bookman Old Style" w:ascii="Bookman Old Style" w:hAnsi="Bookman Old Style"/>
                              <w:sz w:val="17"/>
                              <w:szCs w:val="17"/>
                            </w:rPr>
                            <w:fldChar w:fldCharType="begin"/>
                          </w:r>
                          <w:r>
                            <w:rPr>
                              <w:sz w:val="17"/>
                              <w:szCs w:val="17"/>
                              <w:rFonts w:cs="Bookman Old Style" w:ascii="Bookman Old Style" w:hAnsi="Bookman Old Style"/>
                            </w:rPr>
                            <w:instrText> PAGE </w:instrText>
                          </w:r>
                          <w:r>
                            <w:rPr>
                              <w:sz w:val="17"/>
                              <w:szCs w:val="17"/>
                              <w:rFonts w:cs="Bookman Old Style" w:ascii="Bookman Old Style" w:hAnsi="Bookman Old Style"/>
                            </w:rPr>
                            <w:fldChar w:fldCharType="separate"/>
                          </w:r>
                          <w:r>
                            <w:rPr>
                              <w:sz w:val="17"/>
                              <w:szCs w:val="17"/>
                              <w:rFonts w:cs="Bookman Old Style" w:ascii="Bookman Old Style" w:hAnsi="Bookman Old Style"/>
                            </w:rPr>
                            <w:t>6</w:t>
                          </w:r>
                          <w:r>
                            <w:rPr>
                              <w:sz w:val="17"/>
                              <w:szCs w:val="17"/>
                              <w:rFonts w:cs="Bookman Old Style" w:ascii="Bookman Old Style" w:hAnsi="Bookman Old Style"/>
                            </w:rPr>
                            <w:fldChar w:fldCharType="end"/>
                          </w:r>
                        </w:p>
                      </w:txbxContent>
                    </wps:txbx>
                    <wps:bodyPr anchor="t" lIns="635" tIns="635" rIns="635" bIns="635">
                      <a:noAutofit/>
                    </wps:bodyPr>
                  </wps:wsp>
                </a:graphicData>
              </a:graphic>
            </wp:anchor>
          </w:drawing>
        </mc:Choice>
        <mc:Fallback>
          <w:pict>
            <v:rect fillcolor="#FFFFFF" style="position:absolute;rotation:0;width:318pt;height:8.75pt;mso-wrap-distance-left:0pt;mso-wrap-distance-right:0pt;mso-wrap-distance-top:0pt;mso-wrap-distance-bottom:0pt;margin-top:0pt;mso-position-vertical-relative:text;margin-left:194.15pt;mso-position-horizontal-relative:page">
              <v:fill opacity="0f"/>
              <v:textbox inset="0.000694444444444444in,0.000694444444444444in,0.000694444444444444in,0.000694444444444444in">
                <w:txbxContent>
                  <w:p>
                    <w:pPr>
                      <w:pStyle w:val="Normal"/>
                      <w:keepNext w:val="true"/>
                      <w:keepLines/>
                      <w:rPr>
                        <w:rFonts w:ascii="Bookman Old Style" w:hAnsi="Bookman Old Style" w:cs="Bookman Old Style"/>
                        <w:sz w:val="17"/>
                        <w:szCs w:val="17"/>
                      </w:rPr>
                    </w:pPr>
                    <w:r>
                      <w:rPr>
                        <w:rFonts w:cs="Bookman Old Style" w:ascii="Bookman Old Style" w:hAnsi="Bookman Old Style"/>
                        <w:sz w:val="17"/>
                        <w:szCs w:val="17"/>
                      </w:rPr>
                      <w:fldChar w:fldCharType="begin"/>
                    </w:r>
                    <w:r>
                      <w:rPr>
                        <w:sz w:val="17"/>
                        <w:szCs w:val="17"/>
                        <w:rFonts w:cs="Bookman Old Style" w:ascii="Bookman Old Style" w:hAnsi="Bookman Old Style"/>
                      </w:rPr>
                      <w:instrText> PAGE </w:instrText>
                    </w:r>
                    <w:r>
                      <w:rPr>
                        <w:sz w:val="17"/>
                        <w:szCs w:val="17"/>
                        <w:rFonts w:cs="Bookman Old Style" w:ascii="Bookman Old Style" w:hAnsi="Bookman Old Style"/>
                      </w:rPr>
                      <w:fldChar w:fldCharType="separate"/>
                    </w:r>
                    <w:r>
                      <w:rPr>
                        <w:sz w:val="17"/>
                        <w:szCs w:val="17"/>
                        <w:rFonts w:cs="Bookman Old Style" w:ascii="Bookman Old Style" w:hAnsi="Bookman Old Style"/>
                      </w:rPr>
                      <w:t>6</w:t>
                    </w:r>
                    <w:r>
                      <w:rPr>
                        <w:sz w:val="17"/>
                        <w:szCs w:val="17"/>
                        <w:rFonts w:cs="Bookman Old Style" w:ascii="Bookman Old Style" w:hAnsi="Bookman Old Style"/>
                      </w:rPr>
                      <w:fldChar w:fldCharType="end"/>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5">
              <wp:simplePos x="0" y="0"/>
              <wp:positionH relativeFrom="page">
                <wp:posOffset>719455</wp:posOffset>
              </wp:positionH>
              <wp:positionV relativeFrom="paragraph">
                <wp:posOffset>635</wp:posOffset>
              </wp:positionV>
              <wp:extent cx="6128385" cy="111760"/>
              <wp:effectExtent l="0" t="0" r="0" b="0"/>
              <wp:wrapSquare wrapText="bothSides"/>
              <wp:docPr id="52" name="Frame14"/>
              <a:graphic xmlns:a="http://schemas.openxmlformats.org/drawingml/2006/main">
                <a:graphicData uri="http://schemas.microsoft.com/office/word/2010/wordprocessingShape">
                  <wps:wsp>
                    <wps:cNvSpPr txBox="1"/>
                    <wps:spPr>
                      <a:xfrm>
                        <a:off x="0" y="0"/>
                        <a:ext cx="6128385" cy="111760"/>
                      </a:xfrm>
                      <a:prstGeom prst="rect"/>
                      <a:solidFill>
                        <a:srgbClr val="FFFFFF">
                          <a:alpha val="0"/>
                        </a:srgbClr>
                      </a:solidFill>
                    </wps:spPr>
                    <wps:txbx>
                      <w:txbxContent>
                        <w:p>
                          <w:pPr>
                            <w:pStyle w:val="Normal"/>
                            <w:keepNext w:val="true"/>
                            <w:keepLines/>
                            <w:ind w:start="3240" w:hanging="0"/>
                            <w:rPr>
                              <w:rFonts w:ascii="Garamond" w:hAnsi="Garamond" w:cs="Garamond"/>
                              <w:sz w:val="18"/>
                              <w:szCs w:val="18"/>
                            </w:rPr>
                          </w:pPr>
                          <w:r>
                            <w:rPr>
                              <w:rFonts w:cs="Garamond" w:ascii="Garamond" w:hAnsi="Garamond"/>
                              <w:sz w:val="18"/>
                              <w:szCs w:val="18"/>
                            </w:rPr>
                            <w:fldChar w:fldCharType="begin"/>
                          </w:r>
                          <w:r>
                            <w:rPr>
                              <w:sz w:val="18"/>
                              <w:szCs w:val="18"/>
                              <w:rFonts w:cs="Garamond" w:ascii="Garamond" w:hAnsi="Garamond"/>
                            </w:rPr>
                            <w:instrText> PAGE </w:instrText>
                          </w:r>
                          <w:r>
                            <w:rPr>
                              <w:sz w:val="18"/>
                              <w:szCs w:val="18"/>
                              <w:rFonts w:cs="Garamond" w:ascii="Garamond" w:hAnsi="Garamond"/>
                            </w:rPr>
                            <w:fldChar w:fldCharType="separate"/>
                          </w:r>
                          <w:r>
                            <w:rPr>
                              <w:sz w:val="18"/>
                              <w:szCs w:val="18"/>
                              <w:rFonts w:cs="Garamond" w:ascii="Garamond" w:hAnsi="Garamond"/>
                            </w:rPr>
                            <w:t>10</w:t>
                          </w:r>
                          <w:r>
                            <w:rPr>
                              <w:sz w:val="18"/>
                              <w:szCs w:val="18"/>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82.55pt;height:8.8pt;mso-wrap-distance-left:0pt;mso-wrap-distance-right:0pt;mso-wrap-distance-top:0pt;mso-wrap-distance-bottom:0pt;margin-top:0pt;mso-position-vertical-relative:text;margin-left:56.65pt;mso-position-horizontal-relative:page">
              <v:fill opacity="0f"/>
              <v:textbox inset="0.000694444444444444in,0.000694444444444444in,0.000694444444444444in,0.000694444444444444in">
                <w:txbxContent>
                  <w:p>
                    <w:pPr>
                      <w:pStyle w:val="Normal"/>
                      <w:keepNext w:val="true"/>
                      <w:keepLines/>
                      <w:ind w:start="3240" w:hanging="0"/>
                      <w:rPr>
                        <w:rFonts w:ascii="Garamond" w:hAnsi="Garamond" w:cs="Garamond"/>
                        <w:sz w:val="18"/>
                        <w:szCs w:val="18"/>
                      </w:rPr>
                    </w:pPr>
                    <w:r>
                      <w:rPr>
                        <w:rFonts w:cs="Garamond" w:ascii="Garamond" w:hAnsi="Garamond"/>
                        <w:sz w:val="18"/>
                        <w:szCs w:val="18"/>
                      </w:rPr>
                      <w:fldChar w:fldCharType="begin"/>
                    </w:r>
                    <w:r>
                      <w:rPr>
                        <w:sz w:val="18"/>
                        <w:szCs w:val="18"/>
                        <w:rFonts w:cs="Garamond" w:ascii="Garamond" w:hAnsi="Garamond"/>
                      </w:rPr>
                      <w:instrText> PAGE </w:instrText>
                    </w:r>
                    <w:r>
                      <w:rPr>
                        <w:sz w:val="18"/>
                        <w:szCs w:val="18"/>
                        <w:rFonts w:cs="Garamond" w:ascii="Garamond" w:hAnsi="Garamond"/>
                      </w:rPr>
                      <w:fldChar w:fldCharType="separate"/>
                    </w:r>
                    <w:r>
                      <w:rPr>
                        <w:sz w:val="18"/>
                        <w:szCs w:val="18"/>
                        <w:rFonts w:cs="Garamond" w:ascii="Garamond" w:hAnsi="Garamond"/>
                      </w:rPr>
                      <w:t>10</w:t>
                    </w:r>
                    <w:r>
                      <w:rPr>
                        <w:sz w:val="18"/>
                        <w:szCs w:val="18"/>
                        <w:rFonts w:cs="Garamond" w:ascii="Garamond" w:hAnsi="Garamond"/>
                      </w:rPr>
                      <w:fldChar w:fldCharType="end"/>
                    </w:r>
                  </w:p>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i/>
        <w:szCs w:val="15"/>
        <w:iCs/>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i/>
      <w:iCs/>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lear" w:pos="720"/>
        <w:tab w:val="center" w:pos="4986" w:leader="none"/>
        <w:tab w:val="right" w:pos="9972" w:leader="none"/>
      </w:tabs>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footer" Target="footer2.xm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footer" Target="footer3.xml"/><Relationship Id="rId13" Type="http://schemas.openxmlformats.org/officeDocument/2006/relationships/image" Target="media/image7.jpeg"/><Relationship Id="rId14" Type="http://schemas.openxmlformats.org/officeDocument/2006/relationships/footer" Target="footer4.xm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5.xml"/><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30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2011-05-24T14:11:00Z</dcterms:created>
  <dc:creator>USER</dc:creator>
  <dc:description/>
  <dc:language>en-US</dc:language>
  <cp:lastModifiedBy>USER</cp:lastModifiedBy>
  <dcterms:modified xsi:type="dcterms:W3CDTF">2011-05-24T17:56:00Z</dcterms:modified>
  <cp:revision>1</cp:revision>
  <dc:subject/>
  <dc:title>Ancient Chinese Mirrors: </dc:title>
</cp:coreProperties>
</file>