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jpeg" ContentType="image/jpeg"/>
  <Override PartName="/word/media/image26.jpeg" ContentType="image/jpeg"/>
  <Override PartName="/word/media/image15.png" ContentType="image/png"/>
  <Override PartName="/word/media/image23.jpeg" ContentType="image/jpeg"/>
  <Override PartName="/word/media/image6.jpeg" ContentType="image/jpeg"/>
  <Override PartName="/word/media/image22.jpeg" ContentType="image/jpeg"/>
  <Override PartName="/word/media/image19.wmf" ContentType="image/x-wmf"/>
  <Override PartName="/word/media/image18.wmf" ContentType="image/x-wmf"/>
  <Override PartName="/word/media/image17.jpeg" ContentType="image/jpeg"/>
  <Override PartName="/word/media/image21.jpeg" ContentType="image/jpeg"/>
  <Override PartName="/word/media/image16.png" ContentType="image/png"/>
  <Override PartName="/word/media/image13.png" ContentType="image/png"/>
  <Override PartName="/word/media/image11.png" ContentType="image/png"/>
  <Override PartName="/word/media/image14.png" ContentType="image/png"/>
  <Override PartName="/word/media/image10.jpeg" ContentType="image/jpeg"/>
  <Override PartName="/word/media/image7.png" ContentType="image/png"/>
  <Override PartName="/word/media/image25.jpeg" ContentType="image/jpeg"/>
  <Override PartName="/word/media/image9.jpeg" ContentType="image/jpeg"/>
  <Override PartName="/word/media/image5.png" ContentType="image/png"/>
  <Override PartName="/word/media/image28.jpeg" ContentType="image/jpeg"/>
  <Override PartName="/word/media/image12.png" ContentType="image/png"/>
  <Override PartName="/word/media/image4.png" ContentType="image/png"/>
  <Override PartName="/word/media/image20.jpeg" ContentType="image/jpeg"/>
  <Override PartName="/word/media/image3.png" ContentType="image/png"/>
  <Override PartName="/word/media/image2.png" ContentType="image/png"/>
  <Override PartName="/word/media/image24.jpeg" ContentType="image/jpeg"/>
  <Override PartName="/word/media/image8.jpeg" ContentType="image/jpeg"/>
  <Override PartName="/word/media/image1.png" ContentType="image/png"/>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RC-Ancient Chinese Mirrors: Reflections of  Eternity and Change</w:t>
      </w:r>
    </w:p>
    <w:p>
      <w:pPr>
        <w:pStyle w:val="Normal"/>
        <w:rPr/>
      </w:pPr>
      <w:r>
        <w:rPr/>
      </w:r>
    </w:p>
    <w:p>
      <w:pPr>
        <w:pStyle w:val="Normal"/>
        <w:rPr/>
      </w:pPr>
      <w:r>
        <w:rPr/>
        <w:t>Contents</w:t>
      </w:r>
    </w:p>
    <w:p>
      <w:pPr>
        <w:pStyle w:val="Normal"/>
        <w:rPr/>
      </w:pPr>
      <w:r>
        <w:rPr/>
        <w:t>1.Mirror Symbolism: the Philosophical Background</w:t>
      </w:r>
    </w:p>
    <w:p>
      <w:pPr>
        <w:pStyle w:val="Normal"/>
        <w:rPr/>
      </w:pPr>
      <w:r>
        <w:rPr/>
        <w:t>2. Warring states period 475-221 BCE</w:t>
      </w:r>
    </w:p>
    <w:p>
      <w:pPr>
        <w:pStyle w:val="Normal"/>
        <w:rPr/>
      </w:pPr>
      <w:r>
        <w:rPr/>
      </w:r>
    </w:p>
    <w:p>
      <w:pPr>
        <w:pStyle w:val="Normal"/>
        <w:rPr>
          <w:u w:val="single"/>
        </w:rPr>
      </w:pPr>
      <w:r>
        <w:rPr>
          <w:u w:val="single"/>
        </w:rPr>
        <w:t>2. Pre-Han Mirrors</w:t>
      </w:r>
    </w:p>
    <w:p>
      <w:pPr>
        <w:pStyle w:val="Normal"/>
        <w:rPr>
          <w:u w:val="single"/>
        </w:rPr>
      </w:pPr>
      <w:r>
        <w:rPr>
          <w:u w:val="single"/>
        </w:rPr>
        <w:t>3. Han Period Mirrors</w:t>
      </w:r>
    </w:p>
    <w:p>
      <w:pPr>
        <w:pStyle w:val="Normal"/>
        <w:rPr/>
      </w:pPr>
      <w:r>
        <w:rPr/>
        <w:tab/>
      </w:r>
      <w:r>
        <w:rPr>
          <w:spacing w:val="-5"/>
          <w:sz w:val="26"/>
          <w:szCs w:val="26"/>
        </w:rPr>
        <w:t>West</w:t>
        <w:softHyphen/>
      </w:r>
      <w:r>
        <w:rPr>
          <w:spacing w:val="-1"/>
          <w:sz w:val="26"/>
          <w:szCs w:val="26"/>
        </w:rPr>
        <w:t>ern or Former (206 BCE — 9 CE)</w:t>
      </w:r>
    </w:p>
    <w:p>
      <w:pPr>
        <w:pStyle w:val="Normal"/>
        <w:rPr/>
      </w:pPr>
      <w:r>
        <w:rPr>
          <w:spacing w:val="-1"/>
          <w:sz w:val="26"/>
          <w:szCs w:val="26"/>
        </w:rPr>
        <w:tab/>
      </w:r>
      <w:r>
        <w:rPr>
          <w:spacing w:val="-3"/>
          <w:sz w:val="26"/>
          <w:szCs w:val="26"/>
        </w:rPr>
        <w:t>Hsin or New Dynasty</w:t>
      </w:r>
      <w:r>
        <w:rPr>
          <w:spacing w:val="-1"/>
          <w:sz w:val="26"/>
          <w:szCs w:val="26"/>
        </w:rPr>
        <w:t xml:space="preserve">  (9-25 A.D.)</w:t>
      </w:r>
    </w:p>
    <w:p>
      <w:pPr>
        <w:pStyle w:val="Normal"/>
        <w:rPr/>
      </w:pPr>
      <w:r>
        <w:rPr>
          <w:spacing w:val="-1"/>
          <w:sz w:val="26"/>
          <w:szCs w:val="26"/>
        </w:rPr>
        <w:tab/>
        <w:t xml:space="preserve">Eastern or Later Han period (25 </w:t>
      </w:r>
      <w:r>
        <w:rPr>
          <w:spacing w:val="-1"/>
          <w:sz w:val="14"/>
          <w:szCs w:val="14"/>
        </w:rPr>
        <w:t xml:space="preserve">— </w:t>
      </w:r>
      <w:r>
        <w:rPr>
          <w:spacing w:val="-1"/>
          <w:szCs w:val="14"/>
        </w:rPr>
        <w:t>220</w:t>
      </w:r>
      <w:r>
        <w:rPr>
          <w:spacing w:val="-1"/>
          <w:sz w:val="26"/>
          <w:szCs w:val="26"/>
        </w:rPr>
        <w:t xml:space="preserve"> CE</w:t>
      </w:r>
      <w:r>
        <w:rPr>
          <w:spacing w:val="-1"/>
          <w:szCs w:val="14"/>
        </w:rPr>
        <w:t>)</w:t>
      </w:r>
    </w:p>
    <w:p>
      <w:pPr>
        <w:pStyle w:val="Normal"/>
        <w:rPr>
          <w:spacing w:val="-1"/>
          <w:szCs w:val="14"/>
        </w:rPr>
      </w:pPr>
      <w:r>
        <w:rPr>
          <w:spacing w:val="-1"/>
          <w:szCs w:val="14"/>
        </w:rPr>
        <w:t>4. Tang Period Mirrors</w:t>
      </w:r>
    </w:p>
    <w:p>
      <w:pPr>
        <w:pStyle w:val="NormalWeb"/>
        <w:rPr>
          <w:b/>
          <w:b/>
          <w:bCs/>
          <w:u w:val="single"/>
        </w:rPr>
      </w:pPr>
      <w:r>
        <w:rPr>
          <w:b/>
          <w:bCs/>
          <w:u w:val="single"/>
        </w:rPr>
        <w:t>Mirror Symbolism: the Philosophical Background</w:t>
      </w:r>
    </w:p>
    <w:p>
      <w:pPr>
        <w:pStyle w:val="NormalWeb"/>
        <w:rPr/>
      </w:pPr>
      <w:r>
        <w:rPr/>
        <w:t xml:space="preserve">Mirror symbolism is mentioned in two Chinese classics the </w:t>
      </w:r>
      <w:r>
        <w:rPr>
          <w:i/>
          <w:iCs/>
        </w:rPr>
        <w:t>Zhuangzi</w:t>
      </w:r>
      <w:r>
        <w:rPr/>
        <w:t xml:space="preserve"> and the </w:t>
      </w:r>
      <w:r>
        <w:rPr>
          <w:i/>
          <w:iCs/>
        </w:rPr>
        <w:t xml:space="preserve">Xun Zi. </w:t>
      </w:r>
      <w:r>
        <w:rPr/>
        <w:t xml:space="preserve"> The </w:t>
      </w:r>
      <w:r>
        <w:rPr>
          <w:i/>
          <w:iCs/>
        </w:rPr>
        <w:t>Zhuangzi</w:t>
      </w:r>
      <w:r>
        <w:rPr/>
        <w:t xml:space="preserve"> (</w:t>
      </w:r>
      <w:hyperlink r:id="rId2">
        <w:r>
          <w:rPr>
            <w:rStyle w:val="InternetLink"/>
          </w:rPr>
          <w:t>莊</w:t>
        </w:r>
      </w:hyperlink>
      <w:hyperlink r:id="rId3">
        <w:r>
          <w:rPr>
            <w:rStyle w:val="InternetLink"/>
          </w:rPr>
          <w:t>子</w:t>
        </w:r>
      </w:hyperlink>
      <w:r>
        <w:rPr/>
        <w:t xml:space="preserve"> </w:t>
      </w:r>
      <w:r>
        <w:rPr/>
        <w:t xml:space="preserve">, </w:t>
      </w:r>
      <w:r>
        <w:rPr>
          <w:i/>
          <w:iCs/>
        </w:rPr>
        <w:t>Chuang Tzŭ</w:t>
      </w:r>
      <w:r>
        <w:rPr/>
        <w:t xml:space="preserve"> ), sometimes attributed to an author of the same name of the 4th century BCE  Warring States Period, may have been written by a thinker of the third century CE named Kuo Hsiang.</w:t>
      </w:r>
      <w:r>
        <w:rPr>
          <w:rStyle w:val="FootnoteCharacters"/>
          <w:rStyle w:val="FootnoteAnchor"/>
        </w:rPr>
        <w:footnoteReference w:id="2"/>
      </w:r>
      <w:r>
        <w:rPr/>
        <w:t xml:space="preserve"> Xun Zi</w:t>
      </w:r>
      <w:r>
        <w:rPr>
          <w:b/>
          <w:bCs/>
        </w:rPr>
        <w:t xml:space="preserve"> (</w:t>
      </w:r>
      <w:r>
        <w:rPr>
          <w:lang w:eastAsia="zh-CN"/>
        </w:rPr>
        <w:t>荀子</w:t>
      </w:r>
      <w:r>
        <w:rPr>
          <w:lang w:eastAsia="zh-CN"/>
        </w:rPr>
        <w:t xml:space="preserve">, </w:t>
      </w:r>
      <w:r>
        <w:rPr/>
        <w:t xml:space="preserve">Hsün Tzu) ca. 312–230 BCE was a pragmatic philospher of Qi (Shandong) who, counter to Mencius's view the innate goodness of humanity, countered that ethics was necessary to restore mankind's obscured sense of goodness.  </w:t>
      </w:r>
    </w:p>
    <w:p>
      <w:pPr>
        <w:pStyle w:val="NormalWeb"/>
        <w:rPr/>
      </w:pPr>
      <w:r>
        <w:rPr/>
        <w:t xml:space="preserve">In both of these classics the metaphor of the heart-mind (xīn jì, </w:t>
      </w:r>
      <w:r>
        <w:rPr>
          <w:rStyle w:val="Shorttext"/>
          <w:lang w:eastAsia="zh-TW"/>
        </w:rPr>
        <w:t>心記</w:t>
      </w:r>
      <w:r>
        <w:rPr>
          <w:rStyle w:val="Shorttext"/>
          <w:lang w:eastAsia="zh-TW"/>
        </w:rPr>
        <w:t xml:space="preserve"> </w:t>
      </w:r>
      <w:r>
        <w:rPr>
          <w:rStyle w:val="Shorttext"/>
          <w:lang w:eastAsia="zh-TW"/>
        </w:rPr>
        <w:t xml:space="preserve">) </w:t>
      </w:r>
      <w:r>
        <w:rPr/>
        <w:t xml:space="preserve">is referred to as a mirror. In the </w:t>
      </w:r>
      <w:r>
        <w:rPr>
          <w:i/>
          <w:iCs/>
        </w:rPr>
        <w:t>Zhuangzi</w:t>
      </w:r>
      <w:r>
        <w:rPr/>
        <w:t>, a heart-mind like a mirror constitutes the ideal state of unity with the Way: "The sage's heart-mind in stillness is the mirror of Heaven and earth, the glass of the ten thousand things."</w:t>
      </w:r>
      <w:r>
        <w:rPr>
          <w:rStyle w:val="FootnoteCharacters"/>
          <w:rStyle w:val="FootnoteAnchor"/>
        </w:rPr>
        <w:footnoteReference w:id="3"/>
      </w:r>
      <w:r>
        <w:rPr/>
        <w:t xml:space="preserve"> For Xun Zi, one must establish a heart-mind construct like a mirror in order to learn about the Way. </w:t>
      </w:r>
    </w:p>
    <w:p>
      <w:pPr>
        <w:pStyle w:val="NormalWeb"/>
        <w:rPr/>
      </w:pPr>
      <w:r>
        <w:rPr/>
        <w:t>Originally, a bronze vessel filled with water was deemed "clear and pure enough to see your beard and eyebrows and to examine the lines on your face," so, too, can the heart-mind be clear and pure enough to respond appropriately to learning.</w:t>
      </w:r>
      <w:r>
        <w:rPr>
          <w:rStyle w:val="FootnoteCharacters"/>
          <w:rStyle w:val="FootnoteAnchor"/>
        </w:rPr>
        <w:footnoteReference w:id="4"/>
      </w:r>
      <w:r>
        <w:rPr/>
        <w:t xml:space="preserve"> In early Chinese bronze vessels used for this purpose the sentiment was inscribed in Oracle Bone Script on the bottom of the reflecting surface to promote one's daily self-introspection. The mirror metaphor was prominent in Chinese philosophy</w:t>
      </w:r>
      <w:r>
        <w:rPr>
          <w:rStyle w:val="FootnoteCharacters"/>
          <w:rStyle w:val="FootnoteAnchor"/>
        </w:rPr>
        <w:footnoteReference w:id="5"/>
      </w:r>
      <w:r>
        <w:rPr/>
        <w:t xml:space="preserve"> and was adopted by the Koreans, Manchurians and Japanese where (for the last) it is philosophically described in the </w:t>
      </w:r>
      <w:r>
        <w:rPr>
          <w:i/>
          <w:iCs/>
        </w:rPr>
        <w:t>Hotsuma Sutai</w:t>
      </w:r>
      <w:r>
        <w:rPr/>
        <w:t xml:space="preserve">. </w:t>
      </w:r>
    </w:p>
    <w:p>
      <w:pPr>
        <w:pStyle w:val="NormalWeb"/>
        <w:rPr>
          <w:b/>
          <w:b/>
          <w:bCs/>
        </w:rPr>
      </w:pPr>
      <w:r>
        <w:rPr>
          <w:b/>
          <w:bCs/>
        </w:rPr>
        <w:t xml:space="preserve">Mirror Symbolism: Zhuangzi </w:t>
      </w:r>
    </w:p>
    <w:p>
      <w:pPr>
        <w:pStyle w:val="NormalWeb"/>
        <w:rPr/>
      </w:pPr>
      <w:r>
        <w:rPr/>
        <w:t>Some of the earliest recorded references to bronze mirrors (</w:t>
      </w:r>
      <w:r>
        <w:rPr>
          <w:i/>
          <w:iCs/>
        </w:rPr>
        <w:t>jian</w:t>
      </w:r>
      <w:r>
        <w:rPr/>
        <w:drawing>
          <wp:inline distT="0" distB="0" distL="0" distR="0">
            <wp:extent cx="142240" cy="142240"/>
            <wp:effectExtent l="0" t="0" r="0" b="0"/>
            <wp:docPr id="1" name="58.3.cline_0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3.cline_02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2" name="58.3.cline_0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3.cline_03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3" name="58.3.cline_0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3.cline_04i"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rPr>
          <w:rStyle w:val="FootnoteCharacters"/>
          <w:rStyle w:val="FootnoteAnchor"/>
        </w:rPr>
        <w:footnoteReference w:id="6"/>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rPr>
          <w:rStyle w:val="FootnoteCharacters"/>
          <w:rStyle w:val="FootnoteAnchor"/>
        </w:rPr>
        <w:footnoteReference w:id="7"/>
      </w:r>
      <w:r>
        <w:rPr/>
        <w:t xml:space="preserve"> </w:t>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rPr>
          <w:rStyle w:val="FootnoteCharacters"/>
          <w:rStyle w:val="FootnoteAnchor"/>
        </w:rPr>
        <w:footnoteReference w:id="8"/>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4" name="58.3.cline_0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3.cline_05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5" name="58.3.cline_0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3.cline_06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rPr>
          <w:rStyle w:val="FootnoteCharacters"/>
          <w:rStyle w:val="FootnoteAnchor"/>
        </w:rPr>
        <w:footnoteReference w:id="9"/>
      </w:r>
      <w:r>
        <w:rPr/>
        <w:t xml:space="preserve"> In chapter 7 this activity is associated with perfected persons (</w:t>
      </w:r>
      <w:r>
        <w:rPr>
          <w:i/>
          <w:iCs/>
        </w:rPr>
        <w:t>zhiren</w:t>
      </w:r>
      <w:r>
        <w:rPr/>
        <w:drawing>
          <wp:inline distT="0" distB="0" distL="0" distR="0">
            <wp:extent cx="266065" cy="133985"/>
            <wp:effectExtent l="0" t="0" r="0" b="0"/>
            <wp:docPr id="6" name="58.3.cline_0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3.cline_07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rPr>
          <w:rStyle w:val="FootnoteCharacters"/>
          <w:rStyle w:val="FootnoteAnchor"/>
        </w:rPr>
        <w:footnoteReference w:id="10"/>
      </w:r>
      <w:r>
        <w:rPr/>
        <w:t xml:space="preserve"> Later, this metaphor is used to describe the sage (</w:t>
      </w:r>
      <w:r>
        <w:rPr>
          <w:i/>
          <w:iCs/>
        </w:rPr>
        <w:t>shengren</w:t>
      </w:r>
      <w:r>
        <w:rPr/>
        <w:drawing>
          <wp:inline distT="0" distB="0" distL="0" distR="0">
            <wp:extent cx="266065" cy="133985"/>
            <wp:effectExtent l="0" t="0" r="0" b="0"/>
            <wp:docPr id="7" name="58.3.cline_0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3.cline_08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rPr>
          <w:rStyle w:val="FootnoteCharacters"/>
          <w:rStyle w:val="FootnoteAnchor"/>
        </w:rPr>
        <w:footnoteReference w:id="11"/>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rPr>
          <w:rStyle w:val="FootnoteCharacters"/>
          <w:rStyle w:val="FootnoteAnchor"/>
        </w:rPr>
        <w:footnoteReference w:id="12"/>
      </w:r>
      <w:r>
        <w:rPr/>
        <w:t xml:space="preserve"> </w:t>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8" name="58.3.cline_0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3.cline_09i"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9" name="58.3.cline_1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3.cline_10i"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0" name="58.3.cline_1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3.cline_1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rPr>
          <w:rStyle w:val="FootnoteCharacters"/>
          <w:rStyle w:val="FootnoteAnchor"/>
        </w:rPr>
        <w:footnoteReference w:id="13"/>
      </w:r>
      <w:r>
        <w:rPr/>
        <w:t xml:space="preserve"> </w:t>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1" name="58.3.cline_1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3.cline_12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2" name="58.3.cline_1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8.3.cline_13i"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rPr>
          <w:rStyle w:val="FootnoteCharacters"/>
          <w:rStyle w:val="FootnoteAnchor"/>
        </w:rPr>
        <w:footnoteReference w:id="14"/>
      </w:r>
      <w:r>
        <w:rPr/>
        <w:t xml:space="preserve">The text uses a cluster of terms to describe the ideal state, many of which are also used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rPr>
          <w:rStyle w:val="FootnoteCharacters"/>
          <w:rStyle w:val="FootnoteAnchor"/>
        </w:rPr>
        <w:footnoteReference w:id="15"/>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3" name="58.3.cline_1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3.cline_14i"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rPr>
          <w:rStyle w:val="FootnoteCharacters"/>
          <w:rStyle w:val="FootnoteAnchor"/>
        </w:rPr>
        <w:footnoteReference w:id="16"/>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rPr>
          <w:rStyle w:val="FootnoteCharacters"/>
          <w:rStyle w:val="FootnoteAnchor"/>
        </w:rPr>
        <w:footnoteReference w:id="17"/>
      </w:r>
      <w:r>
        <w:rPr/>
        <w:t xml:space="preserve"> </w:t>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4" name="58.3.cline_1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3.cline_15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5" name="58.3.cline_1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3.cline_16i"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6" name="58.3.cline_1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3.cline_17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7" name="58.3.cline_1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3.cline_18i"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8" name="58.3.cline_1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3.cline_19i"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rPr>
          <w:rStyle w:val="FootnoteCharacters"/>
          <w:rStyle w:val="FootnoteAnchor"/>
        </w:rPr>
        <w:footnoteReference w:id="18"/>
      </w:r>
      <w:r>
        <w:rPr/>
        <w:t xml:space="preserve"> </w:t>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rPr>
          <w:rStyle w:val="FootnoteCharacters"/>
          <w:rStyle w:val="FootnoteAnchor"/>
        </w:rPr>
        <w:footnoteReference w:id="19"/>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19" name="58.3.cline_2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3.cline_20i"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sz w:val="24"/>
        </w:rPr>
      </w:pPr>
      <w:r>
        <w:rPr>
          <w:sz w:val="24"/>
        </w:rPr>
        <w:t xml:space="preserve">Mirror Symbolism: Xun Zi </w:t>
      </w:r>
    </w:p>
    <w:p>
      <w:pPr>
        <w:pStyle w:val="NormalWeb"/>
        <w:rPr/>
      </w:pPr>
      <w:r>
        <w:rPr/>
        <w:t xml:space="preserve">Although the </w:t>
      </w:r>
      <w:r>
        <w:rPr>
          <w:i/>
          <w:iCs/>
        </w:rPr>
        <w:t>Zhuangzi</w:t>
      </w:r>
      <w:r>
        <w:rPr/>
        <w:t xml:space="preserve"> and the </w:t>
      </w:r>
      <w:r>
        <w:rPr>
          <w:i/>
          <w:iCs/>
        </w:rPr>
        <w:t>Xun Zi</w:t>
      </w:r>
      <w:r>
        <w:rPr/>
        <w:t xml:space="preserve"> present opposing visions of human nature and self-cultivation, the </w:t>
      </w:r>
      <w:r>
        <w:rPr>
          <w:i/>
          <w:iCs/>
        </w:rPr>
        <w:t>Xun Zi</w:t>
      </w:r>
      <w:r>
        <w:rPr/>
        <w:t xml:space="preserve"> is one of several texts that bear the mark of Zhuangzi's influence through the use of the mirror metaphor.</w:t>
      </w:r>
      <w:r>
        <w:rPr>
          <w:rStyle w:val="FootnoteCharacters"/>
          <w:rStyle w:val="FootnoteAnchor"/>
        </w:rPr>
        <w:footnoteReference w:id="20"/>
      </w:r>
      <w:r>
        <w:rPr/>
        <w:t xml:space="preserve"> In fact, Xun 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 Zi transforms Zhuangzi's metaphor, using it to express and shape his own position. In chapter 21 Xun 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rPr>
          <w:rStyle w:val="FootnoteCharacters"/>
          <w:rStyle w:val="FootnoteAnchor"/>
        </w:rPr>
        <w:footnoteReference w:id="21"/>
      </w:r>
      <w:r>
        <w:rPr/>
        <w:t xml:space="preserve"> For Xun 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0" name="58.3.cline_2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3.cline_21i"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rPr>
          <w:rStyle w:val="FootnoteCharacters"/>
          <w:rStyle w:val="FootnoteAnchor"/>
        </w:rPr>
        <w:footnoteReference w:id="22"/>
      </w:r>
      <w:r>
        <w:rPr/>
        <w:t xml:space="preserve"> </w:t>
      </w:r>
    </w:p>
    <w:p>
      <w:pPr>
        <w:pStyle w:val="NormalWeb"/>
        <w:rPr/>
      </w:pPr>
      <w:r>
        <w:rPr/>
        <w:t xml:space="preserve">Although Xun Zi appeals to Zhuangzi's image of a person's beard and eyebrows, he develops the metaphor in a very different way. To begin with, Xun Zi describes a reflection in a </w:t>
      </w:r>
      <w:r>
        <w:rPr>
          <w:i/>
          <w:iCs/>
        </w:rPr>
        <w:t>pan</w:t>
      </w:r>
      <w:r>
        <w:rPr/>
        <w:t xml:space="preserve"> of water, unlike Zhuangzi, who contrasts still water with flowing water, apparently in natural settings—rivers, streams, ponds, or lakes. In addition, Xun Zi introduces "muddiness" into the metaphor, focusing on the water's clarity or turbidity in addition to its stillness. For Xun 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1" name="58.3.cline_2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3.cline_22i"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2" name="58.3.cline_2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3.cline_23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3"/>
      </w:r>
      <w:r>
        <w:rPr/>
        <w:t xml:space="preserve"> </w:t>
      </w:r>
    </w:p>
    <w:p>
      <w:pPr>
        <w:pStyle w:val="NormalWeb"/>
        <w:rPr/>
      </w:pPr>
      <w:r>
        <w:rPr/>
        <w:t xml:space="preserve">Here again, we can see how Xun Zi develops the metaphor in a distinctive way. He is concerned with the pan of water being tilted, which would disturb one's ability to view an accurate, undistorted reflection. In addition to disturbing the water's stillness, Xun Zi tells us that tilting the pan makes the water murky, which also distorts a reflection. All of this, he maintains, resembles the task of the sage, who must not allow his heart-mind to be tilted or disturbed, and who must work to avoid stirring it up with distractions. For Xun Zi, the heart-mind's stillness and clarity is not a goal or end-in-itself, as it is for the Zhuangzian sage. Rather, a heart-mind that is bright and clear, like a mirror, is a necessary condition for learning about the Way. This aspect of Xun Zi's metaphor marks a contrast to Zhuangzi, for whom a heart-mind like a mirror </w:t>
      </w:r>
      <w:r>
        <w:rPr>
          <w:i/>
          <w:iCs/>
        </w:rPr>
        <w:t>constitutes</w:t>
      </w:r>
      <w:r>
        <w:rPr/>
        <w:t xml:space="preserve"> a state of unity with the Way. For Xun 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 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 Zi, a heart-mind like a mirror describes a state that is </w:t>
      </w:r>
      <w:r>
        <w:rPr>
          <w:i/>
          <w:iCs/>
        </w:rPr>
        <w:t>preparatory for</w:t>
      </w:r>
      <w:r>
        <w:rPr/>
        <w:t xml:space="preserve"> learning about the Way.</w:t>
      </w:r>
    </w:p>
    <w:p>
      <w:pPr>
        <w:pStyle w:val="NormalWeb"/>
        <w:rPr/>
      </w:pPr>
      <w:r>
        <w:rPr/>
        <w:t>It is worth noting that certain dimensions of Xun Zi's use of the mirror metaphor resonate strongly with his larger program of self-cultivation and the collection of metaphors he uses to describe it. The introduction of a pan of water as opposed to natural occurrences of water is consistent with Xun Zi's insistence that human nature is reformed from the outside in using the rites and traditions created by the sages over time.</w:t>
      </w:r>
      <w:r>
        <w:rPr>
          <w:rStyle w:val="FootnoteCharacters"/>
          <w:rStyle w:val="FootnoteAnchor"/>
        </w:rPr>
        <w:footnoteReference w:id="24"/>
      </w:r>
      <w:r>
        <w:rPr/>
        <w:t xml:space="preserve"> To illustrate and develop his view of the way human dispositions and attitudes are shaped, he often uses craft metaphors.</w:t>
      </w:r>
      <w:r>
        <w:rPr>
          <w:rStyle w:val="FootnoteCharacters"/>
          <w:rStyle w:val="FootnoteAnchor"/>
        </w:rPr>
        <w:footnoteReference w:id="25"/>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 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 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 Zi, settling down in the Zhuangzian sense could only perpetuate the unrefined state into which we are born. Xun Zi thinks we need to work hard at being attentive in order to refine ourselves. The work that it takes to hold a pan of water perfectly straight without even the slightest tilt is another metaphor for his rigorous program of self-cultivation. Xun Zi's goal is to make the mind </w:t>
      </w:r>
      <w:r>
        <w:rPr>
          <w:i/>
          <w:iCs/>
        </w:rPr>
        <w:t>clear</w:t>
      </w:r>
      <w:r>
        <w:rPr/>
        <w:t xml:space="preserve"> so that it is ready to learn. </w:t>
      </w:r>
    </w:p>
    <w:p>
      <w:pPr>
        <w:pStyle w:val="NormalWeb"/>
        <w:rPr/>
      </w:pPr>
      <w:r>
        <w:rPr/>
        <w:t>Despite these differences from Zhuangzi, however, Xun Zi's use of the mirror metaphor is still distinctively Chinese. One of the clearest indications of this fact is Xun 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6"/>
      </w:r>
      <w:r>
        <w:rPr/>
        <w:t xml:space="preserve"> As we have already seen, one of the things that helped to make mirrors the paradigm of proper responsiveness in ancient China was the fact that they did not retain their previous images. As David Nivison has pointed out, Xun 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rPr>
          <w:rStyle w:val="FootnoteCharacters"/>
          <w:rStyle w:val="FootnoteAnchor"/>
        </w:rPr>
        <w:footnoteReference w:id="27"/>
      </w:r>
      <w:r>
        <w:rPr/>
        <w:t xml:space="preserve"> Here we can see the resemblance between the heart-mind and mirrors, as Zhuangzi does when he discusses "responding without storing."</w:t>
      </w:r>
    </w:p>
    <w:p>
      <w:pPr>
        <w:pStyle w:val="NormalWeb"/>
        <w:rPr/>
      </w:pPr>
      <w:r>
        <w:rPr/>
        <w:t>However, for Xun Zian sages, unlike Zhuangzian sages, the purpose of "mirroring" is to be receptive to learning about the Way. Nivison notes that Xun Zi sees the state of the heart-mind as "a means to clear thinking and correct judgment, not a religious goal, not an end in itself."</w:t>
      </w:r>
      <w:r>
        <w:rPr>
          <w:rStyle w:val="FootnoteCharacters"/>
          <w:rStyle w:val="FootnoteAnchor"/>
        </w:rPr>
        <w:footnoteReference w:id="28"/>
      </w:r>
      <w:r>
        <w:rPr/>
        <w:t xml:space="preserve"> Xun Zi's instrumental view of the heart-mind represents a marked contrast with the </w:t>
      </w:r>
      <w:r>
        <w:rPr>
          <w:i/>
          <w:iCs/>
        </w:rPr>
        <w:t>Zhuangzi</w:t>
      </w:r>
      <w:r>
        <w:rPr/>
        <w:t>, where a "heart-mind like a mirror" is a sagely achievement. For Zhuangzi this state is not a means to an end. But, Xun Zi tells us, "a muddied brightness (</w:t>
      </w:r>
      <w:r>
        <w:rPr>
          <w:i/>
          <w:iCs/>
        </w:rPr>
        <w:t>zhuo ming</w:t>
      </w:r>
      <w:r>
        <w:rPr/>
        <w:drawing>
          <wp:inline distT="0" distB="0" distL="0" distR="0">
            <wp:extent cx="266065" cy="133985"/>
            <wp:effectExtent l="0" t="0" r="0" b="0"/>
            <wp:docPr id="23" name="58.3.cline_2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3.cline_24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4" name="58.3.cline_2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3.cline_25i"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rPr>
          <w:rStyle w:val="FootnoteCharacters"/>
          <w:rStyle w:val="FootnoteAnchor"/>
        </w:rPr>
        <w:footnoteReference w:id="29"/>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 Zi says, "When water is moving and reflections waver, men do not use it to determine their beauty or ugliness."</w:t>
      </w:r>
      <w:r>
        <w:rPr>
          <w:rStyle w:val="FootnoteCharacters"/>
          <w:rStyle w:val="FootnoteAnchor"/>
        </w:rPr>
        <w:footnoteReference w:id="30"/>
      </w:r>
      <w:r>
        <w:rPr/>
        <w:t xml:space="preserve"> Likewise, if the heart-mind is not still, one cannot use it to learn about the Way. Although Xun 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NormalWeb"/>
        <w:rPr>
          <w:b/>
          <w:b/>
          <w:bCs/>
        </w:rPr>
      </w:pPr>
      <w:r>
        <w:rPr>
          <w:b/>
          <w:bCs/>
        </w:rPr>
        <w:t>Mirror Symbolism: The Parasol</w:t>
      </w:r>
    </w:p>
    <w:p>
      <w:pPr>
        <w:pStyle w:val="Normal"/>
        <w:spacing w:lineRule="auto" w:line="307"/>
        <w:ind w:start="72" w:end="72" w:hanging="0"/>
        <w:jc w:val="both"/>
        <w:rPr/>
      </w:pPr>
      <w:r>
        <w:drawing>
          <wp:anchor behindDoc="0" distT="0" distB="0" distL="114935" distR="114935" simplePos="0" locked="0" layoutInCell="1" allowOverlap="1" relativeHeight="108">
            <wp:simplePos x="0" y="0"/>
            <wp:positionH relativeFrom="column">
              <wp:posOffset>4114800</wp:posOffset>
            </wp:positionH>
            <wp:positionV relativeFrom="paragraph">
              <wp:posOffset>137160</wp:posOffset>
            </wp:positionV>
            <wp:extent cx="1905000" cy="4343400"/>
            <wp:effectExtent l="0" t="0" r="0" b="0"/>
            <wp:wrapSquare wrapText="bothSides"/>
            <wp:docPr id="25"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16" descr="" title=""/>
                    <pic:cNvPicPr>
                      <a:picLocks noChangeAspect="1" noChangeArrowheads="1"/>
                    </pic:cNvPicPr>
                  </pic:nvPicPr>
                  <pic:blipFill>
                    <a:blip r:embed="rId4"/>
                    <a:srcRect l="-11" t="-4" r="-11" b="-4"/>
                    <a:stretch>
                      <a:fillRect/>
                    </a:stretch>
                  </pic:blipFill>
                  <pic:spPr bwMode="auto">
                    <a:xfrm>
                      <a:off x="0" y="0"/>
                      <a:ext cx="1905000" cy="4343400"/>
                    </a:xfrm>
                    <a:prstGeom prst="rect">
                      <a:avLst/>
                    </a:prstGeom>
                  </pic:spPr>
                </pic:pic>
              </a:graphicData>
            </a:graphic>
          </wp:anchor>
        </w:drawing>
      </w:r>
      <w:r>
        <w:rPr>
          <w:spacing w:val="-6"/>
          <w:szCs w:val="27"/>
        </w:rPr>
        <w:tab/>
      </w:r>
      <w:r>
        <w:rPr>
          <w:spacing w:val="-6"/>
          <w:szCs w:val="27"/>
        </w:rPr>
        <w:t xml:space="preserve">Parasols or canopies made of feathers, straw plait and wood </w:t>
      </w:r>
      <w:r>
        <w:rPr>
          <w:spacing w:val="-3"/>
          <w:szCs w:val="27"/>
        </w:rPr>
        <w:t xml:space="preserve">were used in rites and ceremonies and were depicted in the art of Han, Six Dynasties, Tang </w:t>
      </w:r>
      <w:r>
        <w:rPr>
          <w:spacing w:val="-4"/>
          <w:szCs w:val="27"/>
        </w:rPr>
        <w:t xml:space="preserve">as dangling from a curved stick for individuals </w:t>
      </w:r>
      <w:r>
        <w:rPr>
          <w:spacing w:val="-1"/>
          <w:szCs w:val="27"/>
        </w:rPr>
        <w:t xml:space="preserve">or suspended from ceilings, </w:t>
      </w:r>
      <w:r>
        <w:rPr>
          <w:spacing w:val="-4"/>
          <w:szCs w:val="27"/>
        </w:rPr>
        <w:t xml:space="preserve">in </w:t>
      </w:r>
      <w:r>
        <w:rPr>
          <w:spacing w:val="-2"/>
          <w:szCs w:val="27"/>
        </w:rPr>
        <w:t>temple courtyards before the Hall of the Buddha. Their composition ranged</w:t>
      </w:r>
      <w:r>
        <w:rPr>
          <w:spacing w:val="-5"/>
          <w:szCs w:val="27"/>
        </w:rPr>
        <w:t xml:space="preserve"> from feather cloth </w:t>
      </w:r>
      <w:r>
        <w:rPr>
          <w:spacing w:val="-1"/>
          <w:szCs w:val="27"/>
        </w:rPr>
        <w:t xml:space="preserve">and textiles to plaited straw and wood. The centre of the mirror corresponds to the pivot </w:t>
      </w:r>
      <w:r>
        <w:rPr>
          <w:spacing w:val="-6"/>
          <w:szCs w:val="27"/>
        </w:rPr>
        <w:t xml:space="preserve">of the umbrella and forms the highest point of the whole construction. The main decorated </w:t>
      </w:r>
      <w:r>
        <w:rPr>
          <w:spacing w:val="-5"/>
          <w:szCs w:val="27"/>
        </w:rPr>
        <w:t>zone of the mirror is its convex obverse (above)</w:t>
      </w:r>
      <w:r>
        <w:rPr>
          <w:spacing w:val="-6"/>
          <w:szCs w:val="27"/>
        </w:rPr>
        <w:t>. The depiction of the parasol of Xuan Zang (</w:t>
      </w:r>
      <w:r>
        <w:rPr>
          <w:spacing w:val="-6"/>
          <w:szCs w:val="27"/>
        </w:rPr>
        <w:t>玄奘</w:t>
      </w:r>
      <w:r>
        <w:rPr>
          <w:spacing w:val="-6"/>
          <w:szCs w:val="27"/>
        </w:rPr>
        <w:t xml:space="preserve"> </w:t>
      </w:r>
      <w:r>
        <w:rPr>
          <w:spacing w:val="-6"/>
          <w:szCs w:val="27"/>
        </w:rPr>
        <w:t xml:space="preserve">, </w:t>
      </w:r>
      <w:r>
        <w:rPr/>
        <w:t>Hsuan-tsang,  b. 602 CE</w:t>
      </w:r>
      <w:r>
        <w:rPr>
          <w:spacing w:val="-6"/>
          <w:szCs w:val="27"/>
        </w:rPr>
        <w:t xml:space="preserve">) in </w:t>
      </w:r>
      <w:r>
        <w:rPr/>
        <w:t xml:space="preserve">the famous portrait commemorating his traverse of the Silk Road into the vast regions of Xinjiang and India beginning in 629 CE) </w:t>
      </w:r>
      <w:r>
        <w:rPr>
          <w:spacing w:val="-6"/>
          <w:szCs w:val="27"/>
        </w:rPr>
        <w:t>is a good example where the decoration on its convex top shows  clusters of grapes which had a prominent place in the development of Tang Period Five Lion Dance Mirrors which will be discussed below.</w:t>
      </w:r>
    </w:p>
    <w:p>
      <w:pPr>
        <w:pStyle w:val="Normal"/>
        <w:spacing w:lineRule="auto" w:line="307"/>
        <w:ind w:start="72" w:end="72" w:hanging="0"/>
        <w:jc w:val="both"/>
        <w:rPr>
          <w:b/>
          <w:b/>
          <w:bCs/>
          <w:sz w:val="20"/>
          <w:lang w:val="en-US" w:eastAsia="en-US"/>
        </w:rPr>
      </w:pPr>
      <w:r>
        <w:rPr/>
        <w:drawing>
          <wp:inline distT="0" distB="0" distL="0" distR="0">
            <wp:extent cx="4065905" cy="847725"/>
            <wp:effectExtent l="0" t="0" r="0" b="0"/>
            <wp:docPr id="2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l19" descr="" title=""/>
                    <pic:cNvPicPr>
                      <a:picLocks noChangeAspect="1" noChangeArrowheads="1"/>
                    </pic:cNvPicPr>
                  </pic:nvPicPr>
                  <pic:blipFill>
                    <a:blip r:embed="rId5"/>
                    <a:srcRect l="-9" t="-47" r="-9" b="-47"/>
                    <a:stretch>
                      <a:fillRect/>
                    </a:stretch>
                  </pic:blipFill>
                  <pic:spPr bwMode="auto">
                    <a:xfrm>
                      <a:off x="0" y="0"/>
                      <a:ext cx="4065905" cy="847725"/>
                    </a:xfrm>
                    <a:prstGeom prst="rect">
                      <a:avLst/>
                    </a:prstGeom>
                  </pic:spPr>
                </pic:pic>
              </a:graphicData>
            </a:graphic>
          </wp:inline>
        </w:drawing>
      </w:r>
      <w:r>
        <mc:AlternateContent>
          <mc:Choice Requires="wps">
            <w:drawing>
              <wp:anchor behindDoc="0" distT="0" distB="0" distL="114935" distR="114935" simplePos="0" locked="0" layoutInCell="1" allowOverlap="1" relativeHeight="109">
                <wp:simplePos x="0" y="0"/>
                <wp:positionH relativeFrom="column">
                  <wp:posOffset>4110355</wp:posOffset>
                </wp:positionH>
                <wp:positionV relativeFrom="paragraph">
                  <wp:posOffset>866140</wp:posOffset>
                </wp:positionV>
                <wp:extent cx="1761490" cy="812165"/>
                <wp:effectExtent l="0" t="0" r="0" b="0"/>
                <wp:wrapNone/>
                <wp:docPr id="27" name="Frame1"/>
                <a:graphic xmlns:a="http://schemas.openxmlformats.org/drawingml/2006/main">
                  <a:graphicData uri="http://schemas.microsoft.com/office/word/2010/wordprocessingShape">
                    <wps:wsp>
                      <wps:cNvSpPr txBox="1"/>
                      <wps:spPr>
                        <a:xfrm>
                          <a:off x="0" y="0"/>
                          <a:ext cx="1761490" cy="812165"/>
                        </a:xfrm>
                        <a:prstGeom prst="rect"/>
                        <a:solidFill>
                          <a:srgbClr val="FFFFFF"/>
                        </a:solidFill>
                        <a:ln w="9525">
                          <a:solidFill>
                            <a:srgbClr val="000000"/>
                          </a:solidFill>
                        </a:ln>
                      </wps:spPr>
                      <wps:txbx>
                        <w:txbxContent>
                          <w:p>
                            <w:pPr>
                              <w:pStyle w:val="Normal"/>
                              <w:rPr>
                                <w:sz w:val="20"/>
                              </w:rPr>
                            </w:pPr>
                            <w:r>
                              <w:rPr>
                                <w:sz w:val="20"/>
                              </w:rPr>
                              <w:t>Xuangzang, silk screen portrait, Tokyo National Museum based on the stele in the Xian Belin Museum with detail of parasol.</w:t>
                            </w:r>
                          </w:p>
                        </w:txbxContent>
                      </wps:txbx>
                      <wps:bodyPr anchor="t" lIns="91440" tIns="45720" rIns="91440" bIns="45720">
                        <a:noAutofit/>
                      </wps:bodyPr>
                    </wps:wsp>
                  </a:graphicData>
                </a:graphic>
              </wp:anchor>
            </w:drawing>
          </mc:Choice>
          <mc:Fallback>
            <w:pict>
              <v:rect fillcolor="#FFFFFF" strokecolor="#000000" strokeweight="0pt" style="position:absolute;rotation:0;width:138.7pt;height:63.95pt;mso-wrap-distance-left:9.05pt;mso-wrap-distance-right:9.05pt;mso-wrap-distance-top:0pt;mso-wrap-distance-bottom:0pt;margin-top:68.2pt;mso-position-vertical-relative:text;margin-left:323.65pt;mso-position-horizontal-relative:text">
                <v:textbox>
                  <w:txbxContent>
                    <w:p>
                      <w:pPr>
                        <w:pStyle w:val="Normal"/>
                        <w:rPr>
                          <w:sz w:val="20"/>
                        </w:rPr>
                      </w:pPr>
                      <w:r>
                        <w:rPr>
                          <w:sz w:val="20"/>
                        </w:rPr>
                        <w:t>Xuangzang, silk screen portrait, Tokyo National Museum based on the stele in the Xian Belin Museum with detail of parasol.</w:t>
                      </w:r>
                    </w:p>
                  </w:txbxContent>
                </v:textbox>
              </v:rect>
            </w:pict>
          </mc:Fallback>
        </mc:AlternateContent>
      </w:r>
      <w:r>
        <mc:AlternateContent>
          <mc:Choice Requires="wps">
            <w:drawing>
              <wp:anchor behindDoc="0" distT="0" distB="0" distL="114935" distR="114935" simplePos="0" locked="0" layoutInCell="1" allowOverlap="1" relativeHeight="107">
                <wp:simplePos x="0" y="0"/>
                <wp:positionH relativeFrom="column">
                  <wp:posOffset>5177155</wp:posOffset>
                </wp:positionH>
                <wp:positionV relativeFrom="paragraph">
                  <wp:posOffset>6053455</wp:posOffset>
                </wp:positionV>
                <wp:extent cx="923290" cy="1079500"/>
                <wp:effectExtent l="0" t="0" r="0" b="0"/>
                <wp:wrapNone/>
                <wp:docPr id="28" name="Frame2"/>
                <a:graphic xmlns:a="http://schemas.openxmlformats.org/drawingml/2006/main">
                  <a:graphicData uri="http://schemas.microsoft.com/office/word/2010/wordprocessingShape">
                    <wps:wsp>
                      <wps:cNvSpPr txBox="1"/>
                      <wps:spPr>
                        <a:xfrm>
                          <a:off x="0" y="0"/>
                          <a:ext cx="923290" cy="1079500"/>
                        </a:xfrm>
                        <a:prstGeom prst="rect"/>
                        <a:solidFill>
                          <a:srgbClr val="FFFFFF"/>
                        </a:solidFill>
                        <a:ln w="9525">
                          <a:solidFill>
                            <a:srgbClr val="000000"/>
                          </a:solidFill>
                        </a:ln>
                      </wps:spPr>
                      <wps:txbx>
                        <w:txbxContent>
                          <w:p>
                            <w:pPr>
                              <w:pStyle w:val="Normal"/>
                              <w:rPr>
                                <w:b/>
                                <w:b/>
                                <w:bCs/>
                                <w:sz w:val="18"/>
                              </w:rPr>
                            </w:pPr>
                            <w:r>
                              <w:rPr>
                                <w:b/>
                                <w:bCs/>
                                <w:sz w:val="18"/>
                              </w:rPr>
                              <w:t>Xuangzang, Xian silk screen portrait, Tokyo National Museum</w:t>
                            </w:r>
                          </w:p>
                        </w:txbxContent>
                      </wps:txbx>
                      <wps:bodyPr anchor="t" lIns="91440" tIns="45720" rIns="91440" bIns="45720">
                        <a:noAutofit/>
                      </wps:bodyPr>
                    </wps:wsp>
                  </a:graphicData>
                </a:graphic>
              </wp:anchor>
            </w:drawing>
          </mc:Choice>
          <mc:Fallback>
            <w:pict>
              <v:rect fillcolor="#FFFFFF" strokecolor="#000000" strokeweight="0pt" style="position:absolute;rotation:0;width:72.7pt;height:85pt;mso-wrap-distance-left:9.05pt;mso-wrap-distance-right:9.05pt;mso-wrap-distance-top:0pt;mso-wrap-distance-bottom:0pt;margin-top:476.65pt;mso-position-vertical-relative:text;margin-left:407.65pt;mso-position-horizontal-relative:text">
                <v:textbox>
                  <w:txbxContent>
                    <w:p>
                      <w:pPr>
                        <w:pStyle w:val="Normal"/>
                        <w:rPr>
                          <w:b/>
                          <w:b/>
                          <w:bCs/>
                          <w:sz w:val="18"/>
                        </w:rPr>
                      </w:pPr>
                      <w:r>
                        <w:rPr>
                          <w:b/>
                          <w:bCs/>
                          <w:sz w:val="18"/>
                        </w:rPr>
                        <w:t>Xuangzang, Xian silk screen portrait, Tokyo National Museum</w:t>
                      </w:r>
                    </w:p>
                  </w:txbxContent>
                </v:textbox>
              </v:rect>
            </w:pict>
          </mc:Fallback>
        </mc:AlternateContent>
      </w:r>
    </w:p>
    <w:p>
      <w:pPr>
        <w:pStyle w:val="NormalWeb"/>
        <w:rPr/>
      </w:pPr>
      <w:r>
        <w:rPr/>
        <w:t>Spring and Autum Period Mirrors</w:t>
      </w:r>
    </w:p>
    <w:p>
      <w:pPr>
        <w:pStyle w:val="NormalWeb"/>
        <w:rPr>
          <w:b/>
          <w:b/>
          <w:bCs/>
        </w:rPr>
      </w:pPr>
      <w:r>
        <w:rPr>
          <w:b/>
          <w:bCs/>
        </w:rPr>
        <w:t>Warring States Period Mirrors</w:t>
      </w:r>
    </w:p>
    <w:p>
      <w:pPr>
        <w:pStyle w:val="NormalWeb"/>
        <w:rPr/>
      </w:pPr>
      <w:r>
        <w:rPr/>
        <w:t xml:space="preserve">The </w:t>
      </w:r>
      <w:r>
        <w:rPr>
          <w:b/>
          <w:bCs/>
        </w:rPr>
        <w:t>Warring States Period</w:t>
      </w:r>
      <w:r>
        <w:rPr/>
        <w:t xml:space="preserve"> (</w:t>
      </w:r>
      <w:r>
        <w:rPr/>
        <w:t>戰國時代</w:t>
      </w:r>
      <w:r>
        <w:rPr/>
        <w:t xml:space="preserve">; </w:t>
      </w:r>
      <w:r>
        <w:rPr>
          <w:rStyle w:val="Emphasis"/>
        </w:rPr>
        <w:t>Zhànguó Shídài</w:t>
      </w:r>
      <w:r>
        <w:rPr/>
        <w:t xml:space="preserve">), 475 BCE to the unification under the </w:t>
      </w:r>
      <w:hyperlink r:id="rId6">
        <w:r>
          <w:rPr>
            <w:rStyle w:val="InternetLink"/>
          </w:rPr>
          <w:t>Qin Dynasty</w:t>
        </w:r>
      </w:hyperlink>
      <w:r>
        <w:rPr/>
        <w:t xml:space="preserve"> in 221 BCE. as the second part of the Eastern </w:t>
      </w:r>
      <w:hyperlink r:id="rId7">
        <w:r>
          <w:rPr>
            <w:rStyle w:val="InternetLink"/>
          </w:rPr>
          <w:t>Zhou Dynasty</w:t>
        </w:r>
      </w:hyperlink>
      <w:r>
        <w:rPr/>
        <w:t xml:space="preserve">, following the </w:t>
      </w:r>
      <w:hyperlink r:id="rId8">
        <w:r>
          <w:rPr>
            <w:rStyle w:val="InternetLink"/>
          </w:rPr>
          <w:t>Spring and Autumn Period</w:t>
        </w:r>
      </w:hyperlink>
      <w:r>
        <w:rPr/>
        <w:t xml:space="preserve">, although the Zhou Dynasty ended in 256 BCE, 35 years earlier than the end of the Warring States period. The beginning of the Warring States Period is disputed: 403 BCE, the date of the tripartite </w:t>
      </w:r>
      <w:hyperlink r:id="rId9">
        <w:r>
          <w:rPr>
            <w:rStyle w:val="InternetLink"/>
          </w:rPr>
          <w:t>Partition of Jin</w:t>
        </w:r>
      </w:hyperlink>
      <w:r>
        <w:rPr/>
        <w:t>, is also considered as the beginning of the period.</w:t>
      </w:r>
    </w:p>
    <w:p>
      <w:pPr>
        <w:pStyle w:val="NormalWeb"/>
        <w:rPr/>
      </w:pPr>
      <w:r>
        <w:rPr/>
        <w:t xml:space="preserve">an era when regional warlords annexed smaller states around them and consolidated their power. an era when regional warlords annexed smaller states around them and consolidated their power, schools of thought include those of </w:t>
      </w:r>
      <w:hyperlink r:id="rId10">
        <w:r>
          <w:rPr>
            <w:rStyle w:val="InternetLink"/>
          </w:rPr>
          <w:t>Mencius</w:t>
        </w:r>
      </w:hyperlink>
      <w:r>
        <w:rPr/>
        <w:t xml:space="preserve">, </w:t>
      </w:r>
      <w:hyperlink r:id="rId11">
        <w:r>
          <w:rPr>
            <w:rStyle w:val="InternetLink"/>
          </w:rPr>
          <w:t>Sun Tzu</w:t>
        </w:r>
      </w:hyperlink>
      <w:r>
        <w:rPr/>
        <w:t xml:space="preserve">, </w:t>
      </w:r>
      <w:hyperlink r:id="rId12">
        <w:r>
          <w:rPr>
            <w:rStyle w:val="InternetLink"/>
          </w:rPr>
          <w:t>Lao Zi</w:t>
        </w:r>
      </w:hyperlink>
      <w:r>
        <w:rPr/>
        <w:t xml:space="preserve">, </w:t>
      </w:r>
      <w:hyperlink r:id="rId13">
        <w:r>
          <w:rPr>
            <w:rStyle w:val="InternetLink"/>
          </w:rPr>
          <w:t>Zhuang Zi</w:t>
        </w:r>
      </w:hyperlink>
      <w:r>
        <w:rPr/>
        <w:t xml:space="preserve">, </w:t>
      </w:r>
      <w:hyperlink r:id="rId14">
        <w:r>
          <w:rPr>
            <w:rStyle w:val="InternetLink"/>
          </w:rPr>
          <w:t>Han Feizi</w:t>
        </w:r>
      </w:hyperlink>
      <w:r>
        <w:rPr/>
        <w:t xml:space="preserve">, </w:t>
      </w:r>
      <w:hyperlink r:id="rId15">
        <w:r>
          <w:rPr>
            <w:rStyle w:val="InternetLink"/>
          </w:rPr>
          <w:t>Xun Zi</w:t>
        </w:r>
      </w:hyperlink>
      <w:r>
        <w:rPr/>
        <w:t xml:space="preserve"> and </w:t>
      </w:r>
      <w:hyperlink r:id="rId16">
        <w:r>
          <w:rPr>
            <w:rStyle w:val="InternetLink"/>
          </w:rPr>
          <w:t>Mozi</w:t>
        </w:r>
      </w:hyperlink>
      <w:r>
        <w:rPr/>
        <w:t>.</w:t>
      </w:r>
    </w:p>
    <w:p>
      <w:pPr>
        <w:pStyle w:val="NormalWeb"/>
        <w:rPr/>
      </w:pPr>
      <w:r>
        <w:rPr/>
        <w:drawing>
          <wp:inline distT="0" distB="0" distL="0" distR="0">
            <wp:extent cx="6162675" cy="6685915"/>
            <wp:effectExtent l="0" t="0" r="0" b="0"/>
            <wp:docPr id="29"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l2" descr="" title=""/>
                    <pic:cNvPicPr>
                      <a:picLocks noChangeAspect="1" noChangeArrowheads="1"/>
                    </pic:cNvPicPr>
                  </pic:nvPicPr>
                  <pic:blipFill>
                    <a:blip r:embed="rId17"/>
                    <a:srcRect l="-6" t="-5" r="-6" b="-5"/>
                    <a:stretch>
                      <a:fillRect/>
                    </a:stretch>
                  </pic:blipFill>
                  <pic:spPr bwMode="auto">
                    <a:xfrm>
                      <a:off x="0" y="0"/>
                      <a:ext cx="6162675" cy="6685915"/>
                    </a:xfrm>
                    <a:prstGeom prst="rect">
                      <a:avLst/>
                    </a:prstGeom>
                  </pic:spPr>
                </pic:pic>
              </a:graphicData>
            </a:graphic>
          </wp:inline>
        </w:drawing>
      </w:r>
      <w:r>
        <w:rPr/>
        <w:t xml:space="preserve"> </w:t>
      </w:r>
      <w:r>
        <w:rPr/>
        <w:drawing>
          <wp:inline distT="0" distB="0" distL="0" distR="0">
            <wp:extent cx="6245225" cy="5171440"/>
            <wp:effectExtent l="0" t="0" r="0" b="0"/>
            <wp:docPr id="30"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l3" descr="" title=""/>
                    <pic:cNvPicPr>
                      <a:picLocks noChangeAspect="1" noChangeArrowheads="1"/>
                    </pic:cNvPicPr>
                  </pic:nvPicPr>
                  <pic:blipFill>
                    <a:blip r:embed="rId18"/>
                    <a:srcRect l="-20" t="-24" r="-20" b="-24"/>
                    <a:stretch>
                      <a:fillRect/>
                    </a:stretch>
                  </pic:blipFill>
                  <pic:spPr bwMode="auto">
                    <a:xfrm>
                      <a:off x="0" y="0"/>
                      <a:ext cx="6245225" cy="5171440"/>
                    </a:xfrm>
                    <a:prstGeom prst="rect">
                      <a:avLst/>
                    </a:prstGeom>
                  </pic:spPr>
                </pic:pic>
              </a:graphicData>
            </a:graphic>
          </wp:inline>
        </w:drawing>
      </w:r>
      <w:r>
        <w:rPr/>
        <w:t xml:space="preserve"> </w:t>
      </w:r>
    </w:p>
    <w:p>
      <w:pPr>
        <w:pStyle w:val="NormalWeb"/>
        <w:rPr/>
      </w:pPr>
      <w:r>
        <w:rPr/>
        <w:t xml:space="preserve">The state of </w:t>
      </w:r>
      <w:hyperlink r:id="rId19">
        <w:r>
          <w:rPr>
            <w:rStyle w:val="InternetLink"/>
          </w:rPr>
          <w:t>Wei(</w:t>
        </w:r>
        <w:r>
          <w:rPr>
            <w:rStyle w:val="InternetLink"/>
          </w:rPr>
          <w:t>魏</w:t>
        </w:r>
        <w:r>
          <w:rPr>
            <w:rStyle w:val="InternetLink"/>
          </w:rPr>
          <w:t>)</w:t>
        </w:r>
      </w:hyperlink>
      <w:r>
        <w:rPr/>
        <w:t xml:space="preserve"> (in magenta) should not be confused with the smaller state of </w:t>
      </w:r>
      <w:hyperlink r:id="rId20">
        <w:r>
          <w:rPr>
            <w:rStyle w:val="InternetLink"/>
          </w:rPr>
          <w:t>Wei(</w:t>
        </w:r>
        <w:r>
          <w:rPr>
            <w:rStyle w:val="InternetLink"/>
          </w:rPr>
          <w:t>衛</w:t>
        </w:r>
        <w:r>
          <w:rPr>
            <w:rStyle w:val="InternetLink"/>
          </w:rPr>
          <w:t>)</w:t>
        </w:r>
      </w:hyperlink>
      <w:r>
        <w:rPr/>
        <w:t xml:space="preserve"> (in pink).</w:t>
      </w:r>
    </w:p>
    <w:p>
      <w:pPr>
        <w:pStyle w:val="NormalWeb"/>
        <w:rPr/>
      </w:pPr>
      <w:r>
        <w:rPr/>
        <w:drawing>
          <wp:inline distT="0" distB="0" distL="0" distR="0">
            <wp:extent cx="3351530" cy="1494790"/>
            <wp:effectExtent l="0" t="0" r="0" b="0"/>
            <wp:docPr id="31"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l4" descr="" title=""/>
                    <pic:cNvPicPr>
                      <a:picLocks noChangeAspect="1" noChangeArrowheads="1"/>
                    </pic:cNvPicPr>
                  </pic:nvPicPr>
                  <pic:blipFill>
                    <a:blip r:embed="rId21"/>
                    <a:srcRect l="-23" t="-53" r="-23" b="-53"/>
                    <a:stretch>
                      <a:fillRect/>
                    </a:stretch>
                  </pic:blipFill>
                  <pic:spPr bwMode="auto">
                    <a:xfrm>
                      <a:off x="0" y="0"/>
                      <a:ext cx="3351530" cy="1494790"/>
                    </a:xfrm>
                    <a:prstGeom prst="rect">
                      <a:avLst/>
                    </a:prstGeom>
                  </pic:spPr>
                </pic:pic>
              </a:graphicData>
            </a:graphic>
          </wp:inline>
        </w:drawing>
      </w:r>
    </w:p>
    <w:p>
      <w:pPr>
        <w:pStyle w:val="Normal"/>
        <w:rPr>
          <w:color w:val="0000FF"/>
        </w:rPr>
      </w:pPr>
      <w:r>
        <w:rPr>
          <w:color w:val="0000FF"/>
        </w:rPr>
        <w:drawing>
          <wp:inline distT="0" distB="0" distL="0" distR="0">
            <wp:extent cx="2095500" cy="1400175"/>
            <wp:effectExtent l="0" t="0" r="0" b="0"/>
            <wp:docPr id="32" name="220px-Warring_States_bronze_ding_with_gold_and_silver_inlay"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0px-Warring_States_bronze_ding_with_gold_and_silver_inlay" descr="" title=""/>
                    <pic:cNvPicPr>
                      <a:picLocks noChangeAspect="1" noChangeArrowheads="1"/>
                    </pic:cNvPicPr>
                  </pic:nvPicPr>
                  <pic:blipFill>
                    <a:blip r:embed="rId22"/>
                    <a:srcRect l="-12" t="-19" r="-12" b="-19"/>
                    <a:stretch>
                      <a:fillRect/>
                    </a:stretch>
                  </pic:blipFill>
                  <pic:spPr bwMode="auto">
                    <a:xfrm>
                      <a:off x="0" y="0"/>
                      <a:ext cx="2095500" cy="1400175"/>
                    </a:xfrm>
                    <a:prstGeom prst="rect">
                      <a:avLst/>
                    </a:prstGeom>
                  </pic:spPr>
                </pic:pic>
              </a:graphicData>
            </a:graphic>
          </wp:inline>
        </w:drawing>
      </w:r>
    </w:p>
    <w:p>
      <w:pPr>
        <w:pStyle w:val="Normal"/>
        <w:rPr>
          <w:color w:val="0000FF"/>
        </w:rPr>
      </w:pPr>
      <w:r>
        <w:rPr>
          <w:color w:val="0000FF"/>
        </w:rPr>
        <w:drawing>
          <wp:inline distT="0" distB="0" distL="0" distR="0">
            <wp:extent cx="142240" cy="104775"/>
            <wp:effectExtent l="0" t="0" r="0" b="0"/>
            <wp:docPr id="33" name="magnify-cli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gnify-clip" descr="" title=""/>
                    <pic:cNvPicPr>
                      <a:picLocks noChangeAspect="1" noChangeArrowheads="1"/>
                    </pic:cNvPicPr>
                  </pic:nvPicPr>
                  <pic:blipFill>
                    <a:blip r:embed="rId23"/>
                    <a:srcRect l="-186" t="-255" r="-186" b="-255"/>
                    <a:stretch>
                      <a:fillRect/>
                    </a:stretch>
                  </pic:blipFill>
                  <pic:spPr bwMode="auto">
                    <a:xfrm>
                      <a:off x="0" y="0"/>
                      <a:ext cx="142240" cy="104775"/>
                    </a:xfrm>
                    <a:prstGeom prst="rect">
                      <a:avLst/>
                    </a:prstGeom>
                  </pic:spPr>
                </pic:pic>
              </a:graphicData>
            </a:graphic>
          </wp:inline>
        </w:drawing>
      </w:r>
    </w:p>
    <w:p>
      <w:pPr>
        <w:pStyle w:val="Normal"/>
        <w:rPr/>
      </w:pPr>
      <w:r>
        <w:rPr/>
        <w:t xml:space="preserve">A Warring States bronze </w:t>
      </w:r>
      <w:hyperlink r:id="rId24">
        <w:r>
          <w:rPr>
            <w:rStyle w:val="InternetLink"/>
            <w:i/>
            <w:iCs/>
          </w:rPr>
          <w:t>ding</w:t>
        </w:r>
        <w:r>
          <w:rPr>
            <w:rStyle w:val="InternetLink"/>
          </w:rPr>
          <w:t xml:space="preserve"> vessel</w:t>
        </w:r>
      </w:hyperlink>
      <w:r>
        <w:rPr/>
        <w:t xml:space="preserve"> with gold and silver inlay</w:t>
      </w:r>
    </w:p>
    <w:p>
      <w:pPr>
        <w:pStyle w:val="NormalWeb"/>
        <w:rPr/>
      </w:pPr>
      <w:r>
        <w:rPr/>
      </w:r>
    </w:p>
    <w:p>
      <w:pPr>
        <w:pStyle w:val="NormalWeb"/>
        <w:rPr/>
      </w:pPr>
      <w:r>
        <w:rPr/>
      </w:r>
    </w:p>
    <w:p>
      <w:pPr>
        <w:pStyle w:val="NormalWeb"/>
        <w:rPr/>
      </w:pPr>
      <w:r>
        <w:rPr/>
      </w:r>
    </w:p>
    <w:p>
      <w:pPr>
        <w:pStyle w:val="Heading1"/>
        <w:rPr>
          <w:sz w:val="24"/>
          <w:u w:val="single"/>
        </w:rPr>
      </w:pPr>
      <w:r>
        <w:rPr>
          <w:sz w:val="24"/>
          <w:u w:val="single"/>
        </w:rPr>
        <w:t>Pre-Han Mirrors</w:t>
      </w:r>
    </w:p>
    <w:p>
      <w:pPr>
        <w:pStyle w:val="Heading1"/>
        <w:rPr>
          <w:b w:val="false"/>
          <w:b w:val="false"/>
          <w:bCs w:val="false"/>
          <w:sz w:val="24"/>
        </w:rPr>
      </w:pPr>
      <w:r>
        <w:rPr>
          <w:b w:val="false"/>
          <w:bCs w:val="false"/>
          <w:sz w:val="24"/>
        </w:rPr>
        <w:t>These mirrrors are without inscriptions and have geometric motifs on the obverse suggestive of  the theme of eternity and change.</w:t>
      </w:r>
    </w:p>
    <w:p>
      <w:pPr>
        <w:pStyle w:val="Heading1"/>
        <w:rPr>
          <w:sz w:val="24"/>
          <w:u w:val="single"/>
        </w:rPr>
      </w:pPr>
      <w:r>
        <w:rPr>
          <w:sz w:val="24"/>
          <w:u w:val="single"/>
        </w:rPr>
        <w:t>Han Period Mirrors</w:t>
      </w:r>
    </w:p>
    <w:p>
      <w:pPr>
        <w:pStyle w:val="NormalWeb"/>
        <w:rPr/>
      </w:pPr>
      <w:r>
        <w:rPr>
          <w:spacing w:val="-5"/>
          <w:szCs w:val="26"/>
        </w:rPr>
        <w:t>The Han period may be divided into three sub-periods, the West</w:t>
        <w:softHyphen/>
      </w:r>
      <w:r>
        <w:rPr>
          <w:spacing w:val="-1"/>
          <w:szCs w:val="26"/>
        </w:rPr>
        <w:t xml:space="preserve">ern or Former (206 BCE — 9 CE), </w:t>
      </w:r>
      <w:r>
        <w:rPr>
          <w:spacing w:val="-3"/>
          <w:szCs w:val="26"/>
        </w:rPr>
        <w:t>the reign of Wang Mang, the so-called Hsin or New Dynasty</w:t>
      </w:r>
      <w:r>
        <w:rPr>
          <w:spacing w:val="-1"/>
          <w:szCs w:val="26"/>
        </w:rPr>
        <w:t xml:space="preserve">  (9-25 A.D.) and the Eastern or Later Han period (25 </w:t>
      </w:r>
      <w:r>
        <w:rPr>
          <w:spacing w:val="-1"/>
          <w:szCs w:val="14"/>
        </w:rPr>
        <w:t>— 220</w:t>
      </w:r>
      <w:r>
        <w:rPr>
          <w:spacing w:val="-1"/>
          <w:szCs w:val="26"/>
        </w:rPr>
        <w:t xml:space="preserve"> CE</w:t>
      </w:r>
      <w:r>
        <w:rPr>
          <w:spacing w:val="-1"/>
          <w:szCs w:val="14"/>
        </w:rPr>
        <w:t>)</w:t>
      </w:r>
      <w:r>
        <w:rPr>
          <w:spacing w:val="-2"/>
          <w:szCs w:val="26"/>
        </w:rPr>
        <w:t xml:space="preserve">. </w:t>
      </w:r>
      <w:r>
        <w:rPr>
          <w:spacing w:val="-3"/>
          <w:szCs w:val="26"/>
        </w:rPr>
        <w:t>Inscriptions assist in</w:t>
      </w:r>
      <w:r>
        <w:rPr>
          <w:spacing w:val="-2"/>
          <w:szCs w:val="26"/>
        </w:rPr>
        <w:t xml:space="preserve"> distinguishing pre-Han mirrors from those of the Han period, because they are all written in the small seal script </w:t>
      </w:r>
      <w:r>
        <w:rPr>
          <w:spacing w:val="-5"/>
          <w:szCs w:val="26"/>
        </w:rPr>
        <w:t>of the Ch'in, the arch enemies of the pre-Han Ch'u, and for this reason the script</w:t>
      </w:r>
      <w:r>
        <w:rPr>
          <w:spacing w:val="-7"/>
          <w:szCs w:val="26"/>
        </w:rPr>
        <w:t xml:space="preserve"> was not adopted before 213 BCE</w:t>
      </w:r>
      <w:r>
        <w:rPr>
          <w:spacing w:val="-2"/>
          <w:szCs w:val="26"/>
        </w:rPr>
        <w:t xml:space="preserve"> </w:t>
      </w:r>
    </w:p>
    <w:p>
      <w:pPr>
        <w:pStyle w:val="Normal"/>
        <w:rPr>
          <w:b/>
          <w:b/>
          <w:bCs/>
          <w:spacing w:val="-2"/>
        </w:rPr>
      </w:pPr>
      <w:r>
        <w:rPr>
          <w:b/>
          <w:bCs/>
          <w:spacing w:val="-5"/>
        </w:rPr>
        <w:t>West</w:t>
        <w:softHyphen/>
      </w:r>
      <w:r>
        <w:rPr>
          <w:b/>
          <w:bCs/>
        </w:rPr>
        <w:t xml:space="preserve">ern or Former (206 BCE — 9 CE); </w:t>
      </w:r>
      <w:r>
        <w:rPr>
          <w:b/>
          <w:bCs/>
          <w:spacing w:val="-5"/>
        </w:rPr>
        <w:t>Shou-chou Dragon Mirrors</w:t>
      </w:r>
    </w:p>
    <w:p>
      <w:pPr>
        <w:pStyle w:val="NormalWeb"/>
        <w:rPr>
          <w:spacing w:val="-5"/>
          <w:sz w:val="26"/>
          <w:szCs w:val="26"/>
        </w:rPr>
      </w:pPr>
      <w:r>
        <w:rPr>
          <w:spacing w:val="-5"/>
          <w:szCs w:val="26"/>
        </w:rPr>
        <w:t xml:space="preserve">Shou-chou was given to a type of Former Han mirror that was </w:t>
      </w:r>
      <w:r>
        <w:rPr>
          <w:spacing w:val="-2"/>
          <w:szCs w:val="26"/>
        </w:rPr>
        <w:t xml:space="preserve">discovered near Shou-chou in the Huai </w:t>
      </w:r>
      <w:r>
        <w:rPr>
          <w:spacing w:val="-6"/>
          <w:szCs w:val="26"/>
        </w:rPr>
        <w:t xml:space="preserve">river valley, a town that became  the capital of Ch'u in </w:t>
      </w:r>
      <w:r>
        <w:rPr>
          <w:spacing w:val="-3"/>
          <w:szCs w:val="26"/>
        </w:rPr>
        <w:t xml:space="preserve">241BCE and remained prominent </w:t>
      </w:r>
      <w:r>
        <w:rPr>
          <w:spacing w:val="-5"/>
          <w:szCs w:val="26"/>
        </w:rPr>
        <w:t>until the death of prince of Huai-nan, Liu An in 122 BCE, after which the bronze smelters were abandoned and with them the production of the Shou-chou mirrors.</w:t>
      </w:r>
    </w:p>
    <w:p>
      <w:pPr>
        <w:pStyle w:val="NormalWeb"/>
        <w:jc w:val="center"/>
        <w:rPr/>
      </w:pPr>
      <w:r>
        <w:rPr/>
        <w:drawing>
          <wp:inline distT="0" distB="0" distL="0" distR="0">
            <wp:extent cx="4035425" cy="4029075"/>
            <wp:effectExtent l="0" t="0" r="0" b="0"/>
            <wp:docPr id="3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title=""/>
                    <pic:cNvPicPr>
                      <a:picLocks noChangeAspect="1" noChangeArrowheads="1"/>
                    </pic:cNvPicPr>
                  </pic:nvPicPr>
                  <pic:blipFill>
                    <a:blip r:embed="rId25"/>
                    <a:srcRect l="-8" t="-8" r="-8" b="-8"/>
                    <a:stretch>
                      <a:fillRect/>
                    </a:stretch>
                  </pic:blipFill>
                  <pic:spPr bwMode="auto">
                    <a:xfrm>
                      <a:off x="0" y="0"/>
                      <a:ext cx="4035425" cy="4029075"/>
                    </a:xfrm>
                    <a:prstGeom prst="rect">
                      <a:avLst/>
                    </a:prstGeom>
                  </pic:spPr>
                </pic:pic>
              </a:graphicData>
            </a:graphic>
          </wp:inline>
        </w:drawing>
      </w:r>
    </w:p>
    <w:p>
      <w:pPr>
        <w:pStyle w:val="Normal"/>
        <w:jc w:val="center"/>
        <w:rPr/>
      </w:pPr>
      <w:r>
        <w:rPr>
          <w:spacing w:val="2"/>
          <w:sz w:val="20"/>
          <w:szCs w:val="15"/>
        </w:rPr>
        <w:t>Fig. 1, Shou-chou, Type 1, mirror</w:t>
        <w:br/>
      </w:r>
      <w:r>
        <w:rPr>
          <w:sz w:val="20"/>
          <w:szCs w:val="15"/>
        </w:rPr>
        <w:t>Diam: I 4. 3 cm</w:t>
      </w:r>
    </w:p>
    <w:p>
      <w:pPr>
        <w:pStyle w:val="NormalWeb"/>
        <w:spacing w:before="0" w:after="0"/>
        <w:jc w:val="center"/>
        <w:rPr>
          <w:i/>
          <w:i/>
          <w:iCs/>
          <w:spacing w:val="8"/>
          <w:sz w:val="18"/>
          <w:szCs w:val="18"/>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E pl. 2.</w:t>
      </w:r>
    </w:p>
    <w:p>
      <w:pPr>
        <w:pStyle w:val="NormalWeb"/>
        <w:spacing w:before="0" w:after="0"/>
        <w:jc w:val="center"/>
        <w:rPr/>
      </w:pPr>
      <w:r>
        <w:rPr/>
        <w:drawing>
          <wp:inline distT="0" distB="0" distL="0" distR="0">
            <wp:extent cx="4077970" cy="3986530"/>
            <wp:effectExtent l="0" t="0" r="0" b="0"/>
            <wp:docPr id="3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title=""/>
                    <pic:cNvPicPr>
                      <a:picLocks noChangeAspect="1" noChangeArrowheads="1"/>
                    </pic:cNvPicPr>
                  </pic:nvPicPr>
                  <pic:blipFill>
                    <a:blip r:embed="rId26"/>
                    <a:srcRect l="-8" t="-9" r="-8" b="-9"/>
                    <a:stretch>
                      <a:fillRect/>
                    </a:stretch>
                  </pic:blipFill>
                  <pic:spPr bwMode="auto">
                    <a:xfrm>
                      <a:off x="0" y="0"/>
                      <a:ext cx="4077970" cy="3986530"/>
                    </a:xfrm>
                    <a:prstGeom prst="rect">
                      <a:avLst/>
                    </a:prstGeom>
                  </pic:spPr>
                </pic:pic>
              </a:graphicData>
            </a:graphic>
          </wp:inline>
        </w:drawing>
      </w:r>
    </w:p>
    <w:p>
      <w:pPr>
        <w:pStyle w:val="Normal"/>
        <w:jc w:val="center"/>
        <w:rPr/>
      </w:pPr>
      <w:r>
        <w:rPr>
          <w:spacing w:val="2"/>
          <w:sz w:val="20"/>
          <w:szCs w:val="15"/>
        </w:rPr>
        <w:t>Fig. 2, Shou-chou, Type 2, mirror</w:t>
        <w:br/>
      </w:r>
      <w:r>
        <w:rPr>
          <w:sz w:val="20"/>
          <w:szCs w:val="15"/>
        </w:rPr>
        <w:t>Diam: I 8 cm</w:t>
      </w:r>
    </w:p>
    <w:p>
      <w:pPr>
        <w:pStyle w:val="NormalWeb"/>
        <w:spacing w:before="0" w:after="0"/>
        <w:jc w:val="center"/>
        <w:rPr>
          <w:i/>
          <w:i/>
          <w:iCs/>
          <w:spacing w:val="-2"/>
          <w:sz w:val="16"/>
          <w:szCs w:val="26"/>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F pl. 8.</w:t>
      </w:r>
    </w:p>
    <w:p>
      <w:pPr>
        <w:pStyle w:val="NormalWeb"/>
        <w:spacing w:before="0" w:after="0"/>
        <w:jc w:val="center"/>
        <w:rPr/>
      </w:pPr>
      <w:r>
        <w:rPr/>
        <w:drawing>
          <wp:inline distT="0" distB="0" distL="0" distR="0">
            <wp:extent cx="4090670" cy="3992880"/>
            <wp:effectExtent l="0" t="0" r="0" b="0"/>
            <wp:docPr id="3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title=""/>
                    <pic:cNvPicPr>
                      <a:picLocks noChangeAspect="1" noChangeArrowheads="1"/>
                    </pic:cNvPicPr>
                  </pic:nvPicPr>
                  <pic:blipFill>
                    <a:blip r:embed="rId27"/>
                    <a:srcRect l="-8" t="-9" r="-8" b="-9"/>
                    <a:stretch>
                      <a:fillRect/>
                    </a:stretch>
                  </pic:blipFill>
                  <pic:spPr bwMode="auto">
                    <a:xfrm>
                      <a:off x="0" y="0"/>
                      <a:ext cx="4090670" cy="3992880"/>
                    </a:xfrm>
                    <a:prstGeom prst="rect">
                      <a:avLst/>
                    </a:prstGeom>
                  </pic:spPr>
                </pic:pic>
              </a:graphicData>
            </a:graphic>
          </wp:inline>
        </w:drawing>
      </w:r>
    </w:p>
    <w:p>
      <w:pPr>
        <w:pStyle w:val="Normal"/>
        <w:jc w:val="center"/>
        <w:rPr/>
      </w:pPr>
      <w:r>
        <w:rPr>
          <w:spacing w:val="2"/>
          <w:sz w:val="20"/>
          <w:szCs w:val="15"/>
        </w:rPr>
        <w:t>Fig. 3, Shou-chou, Type 3, mirror</w:t>
        <w:br/>
      </w:r>
      <w:r>
        <w:rPr>
          <w:sz w:val="20"/>
          <w:szCs w:val="15"/>
        </w:rPr>
        <w:t>Diam: I 9 cm</w:t>
      </w:r>
    </w:p>
    <w:p>
      <w:pPr>
        <w:pStyle w:val="NormalWeb"/>
        <w:spacing w:before="0" w:after="0"/>
        <w:jc w:val="center"/>
        <w:rPr>
          <w:spacing w:val="-2"/>
          <w:sz w:val="20"/>
          <w:szCs w:val="26"/>
        </w:rPr>
      </w:pPr>
      <w:r>
        <w:rPr>
          <w:i/>
          <w:iCs/>
          <w:spacing w:val="8"/>
          <w:sz w:val="20"/>
          <w:szCs w:val="18"/>
        </w:rPr>
        <w:t xml:space="preserve">By courtesy of His Majesty, the King of Sweden, </w:t>
      </w:r>
    </w:p>
    <w:p>
      <w:pPr>
        <w:pStyle w:val="Normal"/>
        <w:spacing w:lineRule="auto" w:line="211" w:before="324" w:after="0"/>
        <w:ind w:firstLine="216"/>
        <w:jc w:val="both"/>
        <w:rPr/>
      </w:pPr>
      <w:r>
        <w:rPr>
          <w:spacing w:val="-5"/>
          <w:szCs w:val="26"/>
        </w:rPr>
        <w:t xml:space="preserve">Shou-chou mirrors decorated with winding arabesques are often called </w:t>
      </w:r>
      <w:r>
        <w:rPr>
          <w:i/>
          <w:iCs/>
          <w:spacing w:val="-5"/>
          <w:szCs w:val="26"/>
        </w:rPr>
        <w:t xml:space="preserve">p'an ch'ih, (winding </w:t>
      </w:r>
      <w:r>
        <w:rPr>
          <w:i/>
          <w:iCs/>
          <w:spacing w:val="-7"/>
          <w:szCs w:val="26"/>
        </w:rPr>
        <w:t xml:space="preserve">dragon) </w:t>
      </w:r>
      <w:r>
        <w:rPr>
          <w:spacing w:val="-7"/>
          <w:szCs w:val="26"/>
        </w:rPr>
        <w:t xml:space="preserve">mirrors </w:t>
      </w:r>
      <w:r>
        <w:rPr>
          <w:i/>
          <w:iCs/>
          <w:spacing w:val="-7"/>
          <w:szCs w:val="26"/>
        </w:rPr>
        <w:t xml:space="preserve">(ch'ib </w:t>
      </w:r>
      <w:r>
        <w:rPr>
          <w:spacing w:val="-7"/>
          <w:szCs w:val="26"/>
        </w:rPr>
        <w:t xml:space="preserve">is sometimes interpreted as being a young dragon without horns). Type 1 Shou-chou mirrors of the </w:t>
      </w:r>
      <w:r>
        <w:rPr>
          <w:spacing w:val="-5"/>
          <w:szCs w:val="26"/>
        </w:rPr>
        <w:t xml:space="preserve">second part of the third century </w:t>
      </w:r>
      <w:r>
        <w:rPr>
          <w:spacing w:val="-7"/>
          <w:szCs w:val="26"/>
        </w:rPr>
        <w:t xml:space="preserve">have small fluted central bosses and concave rims with pronounced outer edges. Type 2  Shou-chou mirrors of the </w:t>
      </w:r>
      <w:r>
        <w:rPr>
          <w:spacing w:val="-5"/>
          <w:szCs w:val="26"/>
        </w:rPr>
        <w:t>second century  have</w:t>
      </w:r>
      <w:r>
        <w:rPr>
          <w:spacing w:val="-7"/>
          <w:szCs w:val="26"/>
        </w:rPr>
        <w:t xml:space="preserve">. </w:t>
      </w:r>
      <w:r>
        <w:rPr>
          <w:spacing w:val="-6"/>
          <w:szCs w:val="26"/>
        </w:rPr>
        <w:t>a plain ring or rope pattern encircling the cental zone,</w:t>
      </w:r>
      <w:r>
        <w:rPr>
          <w:spacing w:val="-2"/>
          <w:szCs w:val="26"/>
        </w:rPr>
        <w:t xml:space="preserve">  which may  enclose</w:t>
      </w:r>
      <w:r>
        <w:rPr>
          <w:spacing w:val="-6"/>
          <w:szCs w:val="26"/>
        </w:rPr>
        <w:t xml:space="preserve"> a crouching animal-shaped knob. </w:t>
      </w:r>
      <w:r>
        <w:br w:type="page"/>
      </w:r>
    </w:p>
    <w:p>
      <w:pPr>
        <w:pStyle w:val="Normal"/>
        <w:spacing w:lineRule="auto" w:line="211" w:before="324" w:after="0"/>
        <w:jc w:val="both"/>
        <w:rPr/>
      </w:pPr>
      <w:r>
        <w:rPr>
          <w:b/>
          <w:bCs/>
          <w:spacing w:val="-5"/>
          <w:sz w:val="26"/>
          <w:szCs w:val="26"/>
        </w:rPr>
        <w:t>West</w:t>
        <w:softHyphen/>
      </w:r>
      <w:r>
        <w:rPr>
          <w:b/>
          <w:bCs/>
          <w:spacing w:val="-1"/>
          <w:sz w:val="26"/>
          <w:szCs w:val="26"/>
        </w:rPr>
        <w:t xml:space="preserve">ern or Former (206 BCE — 9 CE): </w:t>
      </w:r>
      <w:r>
        <w:rPr>
          <w:b/>
          <w:bCs/>
          <w:spacing w:val="-6"/>
          <w:sz w:val="26"/>
          <w:szCs w:val="26"/>
        </w:rPr>
        <w:t>TLV Mirrors</w:t>
      </w:r>
    </w:p>
    <w:p>
      <w:pPr>
        <w:pStyle w:val="Normal"/>
        <w:spacing w:lineRule="auto" w:line="211" w:before="324" w:after="0"/>
        <w:ind w:firstLine="216"/>
        <w:jc w:val="both"/>
        <w:rPr/>
      </w:pPr>
      <w:r>
        <w:rPr>
          <w:spacing w:val="-7"/>
          <w:szCs w:val="26"/>
        </w:rPr>
        <w:t xml:space="preserve">Type 3  Shou-chou mirrors of the later </w:t>
      </w:r>
      <w:r>
        <w:rPr>
          <w:spacing w:val="-5"/>
          <w:szCs w:val="26"/>
        </w:rPr>
        <w:t>second century  have a square central field with a border that may encompass an inscription. The "T " motif  is found on the central square with L's and V's on the circular outer rim. This so-called "TLV" design had its origin in the cosmological Liu-Po game involving</w:t>
      </w:r>
      <w:r>
        <w:rPr/>
        <w:t xml:space="preserve"> the tension between eternity and mutability. </w:t>
      </w:r>
      <w:r>
        <w:rPr>
          <w:spacing w:val="-5"/>
          <w:szCs w:val="21"/>
        </w:rPr>
        <w:t xml:space="preserve">Han stone tomb-chamber bas-reliefs, notably those in </w:t>
      </w:r>
      <w:r>
        <w:rPr>
          <w:spacing w:val="-8"/>
          <w:szCs w:val="21"/>
        </w:rPr>
        <w:t xml:space="preserve">of  Wu Liang's family in Shantung, depict </w:t>
      </w:r>
      <w:r>
        <w:rPr>
          <w:spacing w:val="-3"/>
          <w:szCs w:val="21"/>
        </w:rPr>
        <w:t>players on opposite sides of a board emblazoned with the"</w:t>
      </w:r>
      <w:r>
        <w:rPr>
          <w:spacing w:val="-4"/>
          <w:szCs w:val="21"/>
        </w:rPr>
        <w:t xml:space="preserve"> TLV" motif. </w:t>
      </w:r>
      <w:r>
        <w:rPr>
          <w:spacing w:val="-13"/>
          <w:szCs w:val="21"/>
        </w:rPr>
        <w:t xml:space="preserve">UMEHARA </w:t>
      </w:r>
      <w:r>
        <w:rPr>
          <w:spacing w:val="-3"/>
          <w:szCs w:val="21"/>
        </w:rPr>
        <w:t xml:space="preserve">Sueji in his </w:t>
      </w:r>
      <w:r>
        <w:rPr>
          <w:i/>
          <w:iCs/>
          <w:spacing w:val="-3"/>
          <w:szCs w:val="21"/>
        </w:rPr>
        <w:t>Selected Ancient Mirrors Found at Shao</w:t>
        <w:softHyphen/>
      </w:r>
      <w:r>
        <w:rPr>
          <w:i/>
          <w:iCs/>
          <w:spacing w:val="4"/>
          <w:szCs w:val="21"/>
        </w:rPr>
        <w:t xml:space="preserve">hing Tombs </w:t>
      </w:r>
      <w:r>
        <w:rPr>
          <w:spacing w:val="4"/>
          <w:szCs w:val="21"/>
        </w:rPr>
        <w:t xml:space="preserve">shows </w:t>
      </w:r>
      <w:r>
        <w:rPr>
          <w:spacing w:val="-9"/>
          <w:szCs w:val="21"/>
        </w:rPr>
        <w:t xml:space="preserve">four immortals playing at a board which closely resembles </w:t>
      </w:r>
      <w:r>
        <w:rPr>
          <w:spacing w:val="-2"/>
          <w:szCs w:val="21"/>
        </w:rPr>
        <w:t>that on the Han bas-reliefs with the TLV motif. The mirror bears the inscription "immortals playing the game liu-po (</w:t>
      </w:r>
      <w:r>
        <w:rPr/>
        <w:drawing>
          <wp:inline distT="0" distB="0" distL="0" distR="0">
            <wp:extent cx="609600" cy="142875"/>
            <wp:effectExtent l="0" t="0" r="0" b="0"/>
            <wp:docPr id="37"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l6" descr="" title=""/>
                    <pic:cNvPicPr>
                      <a:picLocks noChangeAspect="1" noChangeArrowheads="1"/>
                    </pic:cNvPicPr>
                  </pic:nvPicPr>
                  <pic:blipFill>
                    <a:blip r:embed="rId28"/>
                    <a:srcRect l="-79" t="-338" r="-79" b="-338"/>
                    <a:stretch>
                      <a:fillRect/>
                    </a:stretch>
                  </pic:blipFill>
                  <pic:spPr bwMode="auto">
                    <a:xfrm>
                      <a:off x="0" y="0"/>
                      <a:ext cx="609600" cy="142875"/>
                    </a:xfrm>
                    <a:prstGeom prst="rect">
                      <a:avLst/>
                    </a:prstGeom>
                  </pic:spPr>
                </pic:pic>
              </a:graphicData>
            </a:graphic>
          </wp:inline>
        </w:drawing>
      </w:r>
      <w:r>
        <w:rPr/>
        <w:t>),</w:t>
      </w:r>
      <w:r>
        <w:rPr>
          <w:rStyle w:val="FootnoteCharacters"/>
          <w:rStyle w:val="FootnoteAnchor"/>
        </w:rPr>
        <w:footnoteReference w:id="31"/>
      </w:r>
      <w:r>
        <w:rPr/>
        <w:t xml:space="preserve"> </w:t>
      </w:r>
    </w:p>
    <w:p>
      <w:pPr>
        <w:pStyle w:val="Normal"/>
        <w:spacing w:lineRule="auto" w:line="211" w:before="324" w:after="0"/>
        <w:ind w:firstLine="216"/>
        <w:jc w:val="both"/>
        <w:rPr/>
      </w:pPr>
      <w:r>
        <w:rPr>
          <w:spacing w:val="-1"/>
          <w:szCs w:val="21"/>
        </w:rPr>
        <w:t xml:space="preserve">The game </w:t>
      </w:r>
      <w:r>
        <w:rPr>
          <w:i/>
          <w:iCs/>
          <w:spacing w:val="-1"/>
          <w:szCs w:val="21"/>
        </w:rPr>
        <w:t xml:space="preserve">liu-po </w:t>
      </w:r>
      <w:r>
        <w:rPr>
          <w:spacing w:val="-1"/>
          <w:szCs w:val="21"/>
        </w:rPr>
        <w:t xml:space="preserve">is cited in the </w:t>
      </w:r>
      <w:r>
        <w:rPr>
          <w:spacing w:val="-6"/>
          <w:szCs w:val="21"/>
        </w:rPr>
        <w:t>third century BCE</w:t>
      </w:r>
      <w:r>
        <w:rPr>
          <w:spacing w:val="-1"/>
          <w:szCs w:val="21"/>
        </w:rPr>
        <w:t xml:space="preserve"> poem, </w:t>
      </w:r>
      <w:r>
        <w:rPr/>
        <w:t xml:space="preserve">Chao hun </w:t>
      </w:r>
      <w:r>
        <w:rPr/>
        <w:drawing>
          <wp:inline distT="0" distB="0" distL="0" distR="0">
            <wp:extent cx="304800" cy="142875"/>
            <wp:effectExtent l="0" t="0" r="0" b="0"/>
            <wp:docPr id="38"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l5" descr="" title=""/>
                    <pic:cNvPicPr>
                      <a:picLocks noChangeAspect="1" noChangeArrowheads="1"/>
                    </pic:cNvPicPr>
                  </pic:nvPicPr>
                  <pic:blipFill>
                    <a:blip r:embed="rId29"/>
                    <a:srcRect l="-158" t="-338" r="-158" b="-338"/>
                    <a:stretch>
                      <a:fillRect/>
                    </a:stretch>
                  </pic:blipFill>
                  <pic:spPr bwMode="auto">
                    <a:xfrm>
                      <a:off x="0" y="0"/>
                      <a:ext cx="304800" cy="142875"/>
                    </a:xfrm>
                    <a:prstGeom prst="rect">
                      <a:avLst/>
                    </a:prstGeom>
                  </pic:spPr>
                </pic:pic>
              </a:graphicData>
            </a:graphic>
          </wp:inline>
        </w:drawing>
      </w:r>
      <w:r>
        <w:rPr/>
        <w:t xml:space="preserve">, </w:t>
      </w:r>
      <w:r>
        <w:rPr>
          <w:i/>
          <w:iCs/>
          <w:spacing w:val="-1"/>
          <w:szCs w:val="21"/>
        </w:rPr>
        <w:t xml:space="preserve">by </w:t>
      </w:r>
      <w:r>
        <w:rPr>
          <w:spacing w:val="-1"/>
          <w:w w:val="105"/>
          <w:szCs w:val="16"/>
        </w:rPr>
        <w:t xml:space="preserve">SUNG </w:t>
      </w:r>
      <w:r>
        <w:rPr>
          <w:spacing w:val="-6"/>
          <w:szCs w:val="21"/>
        </w:rPr>
        <w:t xml:space="preserve">Yu </w:t>
      </w:r>
      <w:r>
        <w:rPr/>
        <w:drawing>
          <wp:inline distT="0" distB="0" distL="0" distR="0">
            <wp:extent cx="314325" cy="142875"/>
            <wp:effectExtent l="0" t="0" r="0" b="0"/>
            <wp:docPr id="3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title=""/>
                    <pic:cNvPicPr>
                      <a:picLocks noChangeAspect="1" noChangeArrowheads="1"/>
                    </pic:cNvPicPr>
                  </pic:nvPicPr>
                  <pic:blipFill>
                    <a:blip r:embed="rId30"/>
                    <a:srcRect l="-153" t="-338" r="-153" b="-338"/>
                    <a:stretch>
                      <a:fillRect/>
                    </a:stretch>
                  </pic:blipFill>
                  <pic:spPr bwMode="auto">
                    <a:xfrm>
                      <a:off x="0" y="0"/>
                      <a:ext cx="314325" cy="142875"/>
                    </a:xfrm>
                    <a:prstGeom prst="rect">
                      <a:avLst/>
                    </a:prstGeom>
                  </pic:spPr>
                </pic:pic>
              </a:graphicData>
            </a:graphic>
          </wp:inline>
        </w:drawing>
      </w:r>
      <w:r>
        <w:rPr/>
        <w:t xml:space="preserve"> </w:t>
      </w:r>
      <w:r>
        <w:rPr>
          <w:spacing w:val="-6"/>
          <w:szCs w:val="21"/>
        </w:rPr>
        <w:t xml:space="preserve">describing </w:t>
      </w:r>
      <w:r>
        <w:rPr>
          <w:i/>
          <w:iCs/>
          <w:spacing w:val="-1"/>
          <w:szCs w:val="21"/>
        </w:rPr>
        <w:t>liu-po</w:t>
      </w:r>
      <w:r>
        <w:rPr>
          <w:spacing w:val="-1"/>
          <w:szCs w:val="21"/>
        </w:rPr>
        <w:t xml:space="preserve"> as one of </w:t>
      </w:r>
      <w:r>
        <w:rPr>
          <w:spacing w:val="-6"/>
          <w:szCs w:val="21"/>
        </w:rPr>
        <w:t xml:space="preserve">the </w:t>
      </w:r>
      <w:r>
        <w:rPr>
          <w:spacing w:val="-5"/>
          <w:szCs w:val="21"/>
        </w:rPr>
        <w:t xml:space="preserve">enjoyments of this world in order to entice a certain </w:t>
      </w:r>
      <w:r>
        <w:rPr/>
        <w:drawing>
          <wp:inline distT="0" distB="0" distL="0" distR="0">
            <wp:extent cx="754380" cy="133350"/>
            <wp:effectExtent l="0" t="0" r="0" b="0"/>
            <wp:docPr id="4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title=""/>
                    <pic:cNvPicPr>
                      <a:picLocks noChangeAspect="1" noChangeArrowheads="1"/>
                    </pic:cNvPicPr>
                  </pic:nvPicPr>
                  <pic:blipFill>
                    <a:blip r:embed="rId31"/>
                    <a:srcRect l="-64" t="-362" r="-64" b="-362"/>
                    <a:stretch>
                      <a:fillRect/>
                    </a:stretch>
                  </pic:blipFill>
                  <pic:spPr bwMode="auto">
                    <a:xfrm>
                      <a:off x="0" y="0"/>
                      <a:ext cx="754380" cy="133350"/>
                    </a:xfrm>
                    <a:prstGeom prst="rect">
                      <a:avLst/>
                    </a:prstGeom>
                  </pic:spPr>
                </pic:pic>
              </a:graphicData>
            </a:graphic>
          </wp:inline>
        </w:drawing>
      </w:r>
      <w:r>
        <w:rPr/>
        <w:drawing>
          <wp:inline distT="0" distB="0" distL="0" distR="0">
            <wp:extent cx="304800" cy="142875"/>
            <wp:effectExtent l="0" t="0" r="0" b="0"/>
            <wp:docPr id="41"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l17" descr="" title=""/>
                    <pic:cNvPicPr>
                      <a:picLocks noChangeAspect="1" noChangeArrowheads="1"/>
                    </pic:cNvPicPr>
                  </pic:nvPicPr>
                  <pic:blipFill>
                    <a:blip r:embed="rId32"/>
                    <a:srcRect l="-158" t="-338" r="-158" b="-338"/>
                    <a:stretch>
                      <a:fillRect/>
                    </a:stretch>
                  </pic:blipFill>
                  <pic:spPr bwMode="auto">
                    <a:xfrm>
                      <a:off x="0" y="0"/>
                      <a:ext cx="304800" cy="142875"/>
                    </a:xfrm>
                    <a:prstGeom prst="rect">
                      <a:avLst/>
                    </a:prstGeom>
                  </pic:spPr>
                </pic:pic>
              </a:graphicData>
            </a:graphic>
          </wp:inline>
        </w:drawing>
      </w:r>
      <w:r>
        <w:rPr>
          <w:spacing w:val="-3"/>
          <w:szCs w:val="21"/>
        </w:rPr>
        <w:t xml:space="preserve"> to return to thoughts of this earthly paradise and forsake his concentration on the heavenly one:</w:t>
      </w:r>
    </w:p>
    <w:p>
      <w:pPr>
        <w:pStyle w:val="Normal"/>
        <w:spacing w:before="180" w:after="0"/>
        <w:ind w:start="576" w:hanging="0"/>
        <w:rPr>
          <w:spacing w:val="-4"/>
          <w:sz w:val="21"/>
          <w:szCs w:val="21"/>
        </w:rPr>
      </w:pPr>
      <w:r>
        <w:rPr>
          <w:spacing w:val="-4"/>
          <w:sz w:val="21"/>
          <w:szCs w:val="21"/>
        </w:rPr>
        <w:t xml:space="preserve"> </w:t>
      </w:r>
      <w:r>
        <w:rPr>
          <w:spacing w:val="-4"/>
          <w:sz w:val="21"/>
          <w:szCs w:val="21"/>
        </w:rPr>
        <w:t>With bamboo sticks and ivory draughtsmen,</w:t>
      </w:r>
    </w:p>
    <w:p>
      <w:pPr>
        <w:pStyle w:val="Normal"/>
        <w:ind w:start="936" w:hanging="0"/>
        <w:rPr/>
      </w:pPr>
      <w:r>
        <w:rPr>
          <w:spacing w:val="-2"/>
          <w:sz w:val="21"/>
          <w:szCs w:val="21"/>
        </w:rPr>
        <w:t xml:space="preserve">There is the game </w:t>
      </w:r>
      <w:r>
        <w:rPr>
          <w:i/>
          <w:iCs/>
          <w:spacing w:val="-2"/>
          <w:sz w:val="21"/>
          <w:szCs w:val="21"/>
        </w:rPr>
        <w:t>liu-po.</w:t>
      </w:r>
    </w:p>
    <w:p>
      <w:pPr>
        <w:pStyle w:val="Normal"/>
        <w:spacing w:before="36" w:after="0"/>
        <w:ind w:start="720" w:hanging="0"/>
        <w:rPr>
          <w:spacing w:val="-5"/>
          <w:sz w:val="21"/>
          <w:szCs w:val="21"/>
        </w:rPr>
      </w:pPr>
      <w:r>
        <w:rPr>
          <w:spacing w:val="-5"/>
          <w:sz w:val="21"/>
          <w:szCs w:val="21"/>
        </w:rPr>
        <w:t>Dividing into groups and proceeding together,</w:t>
      </w:r>
    </w:p>
    <w:p>
      <w:pPr>
        <w:pStyle w:val="Normal"/>
        <w:ind w:start="936" w:hanging="0"/>
        <w:rPr>
          <w:spacing w:val="-5"/>
          <w:sz w:val="21"/>
          <w:szCs w:val="21"/>
        </w:rPr>
      </w:pPr>
      <w:r>
        <w:rPr>
          <w:spacing w:val="-5"/>
          <w:sz w:val="21"/>
          <w:szCs w:val="21"/>
        </w:rPr>
        <w:t>Forcefully they threaten each other.</w:t>
      </w:r>
    </w:p>
    <w:p>
      <w:pPr>
        <w:pStyle w:val="Normal"/>
        <w:tabs>
          <w:tab w:val="clear" w:pos="720"/>
          <w:tab w:val="right" w:pos="5713" w:leader="none"/>
        </w:tabs>
        <w:ind w:start="720" w:hanging="0"/>
        <w:rPr/>
      </w:pPr>
      <w:r>
        <w:rPr>
          <w:spacing w:val="-12"/>
          <w:sz w:val="21"/>
          <w:szCs w:val="21"/>
        </w:rPr>
        <w:t xml:space="preserve">Having become </w:t>
      </w:r>
      <w:r>
        <w:rPr>
          <w:i/>
          <w:iCs/>
          <w:spacing w:val="-12"/>
          <w:sz w:val="21"/>
          <w:szCs w:val="21"/>
        </w:rPr>
        <w:t>hsiao</w:t>
        <w:tab/>
      </w:r>
      <w:r>
        <w:rPr>
          <w:spacing w:val="-6"/>
          <w:sz w:val="21"/>
          <w:szCs w:val="21"/>
        </w:rPr>
        <w:t>(i. e., in the lead) and going</w:t>
      </w:r>
    </w:p>
    <w:p>
      <w:pPr>
        <w:pStyle w:val="Normal"/>
        <w:ind w:start="1152" w:hanging="0"/>
        <w:rPr>
          <w:spacing w:val="-4"/>
          <w:sz w:val="21"/>
          <w:szCs w:val="21"/>
        </w:rPr>
      </w:pPr>
      <w:r>
        <w:rPr>
          <w:spacing w:val="-4"/>
          <w:sz w:val="21"/>
          <w:szCs w:val="21"/>
        </w:rPr>
        <w:t>to win double,</w:t>
      </w:r>
    </w:p>
    <w:p>
      <w:pPr>
        <w:pStyle w:val="Normal"/>
        <w:ind w:start="960" w:hanging="0"/>
        <w:rPr/>
      </w:pPr>
      <w:r>
        <w:rPr>
          <w:spacing w:val="-4"/>
          <w:sz w:val="21"/>
          <w:szCs w:val="21"/>
        </w:rPr>
        <w:t xml:space="preserve">One shouts for the five-white </w:t>
      </w:r>
      <w:r>
        <w:rPr>
          <w:sz w:val="26"/>
          <w:szCs w:val="26"/>
        </w:rPr>
        <w:t>. . .</w:t>
      </w:r>
      <w:r>
        <w:rPr>
          <w:rStyle w:val="FootnoteCharacters"/>
          <w:rStyle w:val="FootnoteAnchor"/>
          <w:sz w:val="26"/>
          <w:szCs w:val="26"/>
        </w:rPr>
        <w:footnoteReference w:id="32"/>
      </w:r>
      <w:r>
        <w:rPr>
          <w:sz w:val="26"/>
          <w:szCs w:val="26"/>
        </w:rPr>
        <w:t xml:space="preserve"> (Yang 1947:204)</w:t>
      </w:r>
    </w:p>
    <w:p>
      <w:pPr>
        <w:pStyle w:val="Normal"/>
        <w:rPr>
          <w:sz w:val="26"/>
          <w:szCs w:val="26"/>
        </w:rPr>
      </w:pPr>
      <w:r>
        <w:rPr>
          <w:sz w:val="26"/>
          <w:szCs w:val="26"/>
        </w:rPr>
      </w:r>
    </w:p>
    <w:p>
      <w:pPr>
        <w:pStyle w:val="Normal"/>
        <w:rPr/>
      </w:pPr>
      <w:r>
        <w:rPr>
          <w:szCs w:val="26"/>
        </w:rPr>
        <w:t xml:space="preserve">This sentiment appears to mirror the tension between the contesting philosophies of </w:t>
      </w:r>
      <w:r>
        <w:rPr/>
        <w:t>Zhuangzi and Xun Zi</w:t>
      </w:r>
      <w:r>
        <w:rPr>
          <w:szCs w:val="26"/>
        </w:rPr>
        <w:t>, the former opting for concentrating on eternity the latter on this world. The game is mentioned also in the first half of the second century by Wang I so that these two references anchor the game to the Han period. It appears to have had two methods of play, one by six long sticks (chu) as in the mirror (Fig. 5) and the other by the throw of six small bamboo dice, both kinds of draughts being called chu (Yang 1947:204). The use of the long sticks recalls the practice of divination where long sticks are shaken out of an open-ended hand-held box.</w:t>
      </w:r>
    </w:p>
    <w:p>
      <w:pPr>
        <w:pStyle w:val="Normal"/>
        <w:rPr>
          <w:b/>
          <w:b/>
          <w:bCs/>
          <w:spacing w:val="-6"/>
          <w:sz w:val="21"/>
          <w:szCs w:val="21"/>
        </w:rPr>
      </w:pPr>
      <w:r>
        <w:rPr>
          <w:b/>
          <w:bCs/>
          <w:spacing w:val="-6"/>
          <w:sz w:val="21"/>
          <w:szCs w:val="21"/>
        </w:rPr>
      </w:r>
    </w:p>
    <w:p>
      <w:pPr>
        <w:pStyle w:val="NormalWeb"/>
        <w:rPr>
          <w:b/>
          <w:b/>
          <w:bCs/>
          <w:spacing w:val="-2"/>
          <w:sz w:val="21"/>
          <w:szCs w:val="21"/>
        </w:rPr>
      </w:pPr>
      <w:r>
        <w:rPr>
          <w:b/>
          <w:bCs/>
          <w:spacing w:val="-2"/>
          <w:sz w:val="21"/>
          <w:szCs w:val="21"/>
        </w:rPr>
      </w:r>
    </w:p>
    <w:p>
      <w:pPr>
        <w:pStyle w:val="NormalWeb"/>
        <w:spacing w:before="0" w:after="0"/>
        <w:rPr/>
      </w:pPr>
      <w:r>
        <w:rPr/>
        <w:drawing>
          <wp:inline distT="0" distB="0" distL="0" distR="0">
            <wp:extent cx="6550660" cy="3716655"/>
            <wp:effectExtent l="0" t="0" r="0" b="0"/>
            <wp:docPr id="42"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l15" descr="" title=""/>
                    <pic:cNvPicPr>
                      <a:picLocks noChangeAspect="1" noChangeArrowheads="1"/>
                    </pic:cNvPicPr>
                  </pic:nvPicPr>
                  <pic:blipFill>
                    <a:blip r:embed="rId33"/>
                    <a:srcRect l="-13" t="-24" r="-13" b="-24"/>
                    <a:stretch>
                      <a:fillRect/>
                    </a:stretch>
                  </pic:blipFill>
                  <pic:spPr bwMode="auto">
                    <a:xfrm>
                      <a:off x="0" y="0"/>
                      <a:ext cx="6550660" cy="3716655"/>
                    </a:xfrm>
                    <a:prstGeom prst="rect">
                      <a:avLst/>
                    </a:prstGeom>
                  </pic:spPr>
                </pic:pic>
              </a:graphicData>
            </a:graphic>
          </wp:inline>
        </w:drawing>
      </w:r>
    </w:p>
    <w:p>
      <w:pPr>
        <w:pStyle w:val="Normal"/>
        <w:jc w:val="center"/>
        <w:rPr/>
      </w:pPr>
      <w:r>
        <w:rPr>
          <w:sz w:val="20"/>
        </w:rPr>
        <w:t xml:space="preserve">Fig. 5,  Mirror depicting  ”immortals playing the game of Liu-po"   </w:t>
      </w:r>
      <w:r>
        <w:rPr>
          <w:spacing w:val="10"/>
          <w:sz w:val="20"/>
          <w:szCs w:val="16"/>
        </w:rPr>
        <w:t>Asano Collection, Osaka</w:t>
      </w:r>
    </w:p>
    <w:p>
      <w:pPr>
        <w:pStyle w:val="Normal"/>
        <w:spacing w:lineRule="auto" w:line="271" w:before="108" w:after="0"/>
        <w:jc w:val="center"/>
        <w:rPr>
          <w:spacing w:val="10"/>
          <w:sz w:val="16"/>
          <w:szCs w:val="16"/>
        </w:rPr>
      </w:pPr>
      <w:r>
        <w:rPr>
          <w:spacing w:val="10"/>
          <w:sz w:val="16"/>
          <w:szCs w:val="16"/>
        </w:rPr>
      </w:r>
    </w:p>
    <w:p>
      <w:pPr>
        <w:pStyle w:val="Normal"/>
        <w:spacing w:lineRule="auto" w:line="271" w:before="108" w:after="0"/>
        <w:rPr>
          <w:b/>
          <w:b/>
          <w:bCs/>
        </w:rPr>
      </w:pPr>
      <w:r>
        <w:rPr>
          <w:b/>
          <w:bCs/>
          <w:spacing w:val="-5"/>
          <w:sz w:val="26"/>
          <w:szCs w:val="26"/>
        </w:rPr>
        <w:t>West</w:t>
        <w:softHyphen/>
      </w:r>
      <w:r>
        <w:rPr>
          <w:b/>
          <w:bCs/>
          <w:spacing w:val="-1"/>
          <w:sz w:val="26"/>
          <w:szCs w:val="26"/>
        </w:rPr>
        <w:t xml:space="preserve">ern or Former (zo6 BCE — 9 CE): </w:t>
      </w:r>
      <w:r>
        <w:rPr>
          <w:b/>
          <w:bCs/>
          <w:spacing w:val="10"/>
          <w:szCs w:val="16"/>
        </w:rPr>
        <w:t>Mountain Cloud (Shan) Mirrors</w:t>
      </w:r>
    </w:p>
    <w:p>
      <w:pPr>
        <w:pStyle w:val="NormalWeb"/>
        <w:rPr/>
      </w:pPr>
      <w:r>
        <w:rPr/>
        <w:t xml:space="preserve">Perhaps one of the most provocative of these geometric abstractions used in Han mirrors was the Shan symbol for mountain embedded within a cloud-like pattern, signifying the eternality of the mountains that supported the dome of heaven. In these provocative mirror designs one can witness the evolution of the Chinese bronze craftsman's ability to impose the Shan symbol within a matrix of cloud motifs. The number of Shan symbols could vary from three to six, not necessarily depending on the size of the obverse field,  but they all performed the same purpose of maintaining the dome of heaven and the sense of Shang-ti, the immutable order of the universe. Within the perimeter of the mountains clouds endlessly float, signifying the mutability of the world through which they passed. This duality of permanence and mutability on reflecting surface displays the mutability of the mirror's owner. </w:t>
      </w:r>
    </w:p>
    <w:p>
      <w:pPr>
        <w:pStyle w:val="NormalWeb"/>
        <w:rPr/>
      </w:pPr>
      <w:r>
        <w:rPr/>
      </w:r>
    </w:p>
    <w:p>
      <w:pPr>
        <w:pStyle w:val="NormalWeb"/>
        <w:rPr/>
      </w:pPr>
      <w:r>
        <w:rPr/>
      </w:r>
    </w:p>
    <w:p>
      <w:pPr>
        <w:pStyle w:val="NormalWeb"/>
        <w:rPr/>
      </w:pPr>
      <w:r>
        <w:rPr/>
        <w:t xml:space="preserve"> </w:t>
      </w:r>
    </w:p>
    <w:p>
      <w:pPr>
        <w:pStyle w:val="Normal"/>
        <w:rPr/>
      </w:pPr>
      <w:r>
        <w:rPr/>
      </w:r>
      <w:r>
        <w:br w:type="page"/>
      </w:r>
    </w:p>
    <w:p>
      <w:pPr>
        <w:pStyle w:val="Normal"/>
        <w:pBdr>
          <w:top w:val="single" w:sz="4" w:space="12" w:color="000000"/>
        </w:pBdr>
        <w:spacing w:before="6" w:after="0"/>
        <w:rPr>
          <w:b/>
          <w:b/>
          <w:bCs/>
          <w:szCs w:val="19"/>
        </w:rPr>
      </w:pPr>
      <w:r>
        <w:rPr>
          <w:b/>
          <w:bCs/>
          <w:szCs w:val="19"/>
        </w:rPr>
        <w:t>Tang Dynasty Mirrors</w:t>
      </w:r>
    </w:p>
    <w:p>
      <w:pPr>
        <w:pStyle w:val="Normal"/>
        <w:spacing w:before="72" w:after="0"/>
        <w:ind w:end="360" w:hanging="0"/>
        <w:rPr/>
      </w:pPr>
      <w:r>
        <w:rPr>
          <w:spacing w:val="4"/>
          <w:szCs w:val="22"/>
        </w:rPr>
        <w:t xml:space="preserve">The casting of bronze mirrors with elaborate decoration on the </w:t>
      </w:r>
      <w:r>
        <w:rPr>
          <w:spacing w:val="-3"/>
          <w:szCs w:val="22"/>
        </w:rPr>
        <w:t xml:space="preserve">reverse can be traced back in Chinese history to the beginning of the </w:t>
      </w:r>
      <w:r>
        <w:rPr>
          <w:spacing w:val="-1"/>
          <w:szCs w:val="22"/>
        </w:rPr>
        <w:t xml:space="preserve">Bronze Age. Not only were such mirrors used in daily life, they were also considered sacred objects. Many scholarly studies on the decor of </w:t>
      </w:r>
      <w:r>
        <w:rPr>
          <w:spacing w:val="-2"/>
          <w:szCs w:val="22"/>
        </w:rPr>
        <w:t xml:space="preserve">mirrors of the Han dynasty </w:t>
      </w:r>
      <w:r>
        <w:rPr>
          <w:spacing w:val="-2"/>
          <w:szCs w:val="15"/>
        </w:rPr>
        <w:t xml:space="preserve">(206 BC—AD 220) </w:t>
      </w:r>
      <w:r>
        <w:rPr>
          <w:spacing w:val="-2"/>
          <w:szCs w:val="22"/>
        </w:rPr>
        <w:t xml:space="preserve">have addressed the symbolic </w:t>
      </w:r>
      <w:r>
        <w:rPr>
          <w:szCs w:val="22"/>
        </w:rPr>
        <w:t xml:space="preserve">portrayal of the universe and the forces within it. By the Tang dynasty </w:t>
      </w:r>
      <w:r>
        <w:rPr>
          <w:spacing w:val="-1"/>
          <w:szCs w:val="22"/>
        </w:rPr>
        <w:t xml:space="preserve">(618-907), however, the happiness of this world as well as glorification </w:t>
      </w:r>
      <w:r>
        <w:rPr>
          <w:spacing w:val="1"/>
          <w:szCs w:val="22"/>
        </w:rPr>
        <w:t>of the ideal world appear in mirror decoration.</w:t>
      </w:r>
      <w:r>
        <w:rPr>
          <w:rStyle w:val="FootnoteCharacters"/>
          <w:rStyle w:val="FootnoteAnchor"/>
          <w:spacing w:val="1"/>
          <w:szCs w:val="22"/>
        </w:rPr>
        <w:footnoteReference w:id="33"/>
      </w:r>
      <w:r>
        <w:rPr>
          <w:spacing w:val="1"/>
          <w:szCs w:val="22"/>
        </w:rPr>
        <w:t xml:space="preserve"> The celestial context </w:t>
      </w:r>
      <w:r>
        <w:rPr>
          <w:spacing w:val="-2"/>
          <w:szCs w:val="22"/>
        </w:rPr>
        <w:t xml:space="preserve">of the ornamentation gradually gave way to the idealization of a blissful </w:t>
      </w:r>
      <w:r>
        <w:rPr>
          <w:spacing w:val="-1"/>
          <w:szCs w:val="22"/>
        </w:rPr>
        <w:t>land. Undoubtedly, the Tang people regarded bronze mirrors as durable</w:t>
      </w:r>
    </w:p>
    <w:p>
      <w:pPr>
        <w:pStyle w:val="Normal"/>
        <w:spacing w:before="72" w:after="0"/>
        <w:jc w:val="both"/>
        <w:rPr>
          <w:spacing w:val="-2"/>
          <w:sz w:val="22"/>
          <w:szCs w:val="22"/>
        </w:rPr>
      </w:pPr>
      <w:r>
        <w:rPr>
          <w:spacing w:val="-5"/>
          <w:szCs w:val="22"/>
        </w:rPr>
        <w:t xml:space="preserve">precious treasures. Materials such as gold, silver, and mother-of-pearl were </w:t>
      </w:r>
      <w:r>
        <w:rPr>
          <w:spacing w:val="-1"/>
          <w:szCs w:val="22"/>
        </w:rPr>
        <w:t xml:space="preserve">expressively applied, with imaginative birds and flowers, fantastic animals, </w:t>
      </w:r>
      <w:r>
        <w:rPr>
          <w:spacing w:val="-2"/>
          <w:szCs w:val="22"/>
        </w:rPr>
        <w:t>and grapevines floating exuberantly across these sumptuous surfaces.</w:t>
      </w:r>
      <w:r>
        <w:rPr>
          <w:rStyle w:val="FootnoteCharacters"/>
          <w:rStyle w:val="FootnoteAnchor"/>
          <w:spacing w:val="-2"/>
          <w:szCs w:val="22"/>
        </w:rPr>
        <w:footnoteReference w:id="34"/>
      </w:r>
    </w:p>
    <w:p>
      <w:pPr>
        <w:pStyle w:val="Normal"/>
        <w:spacing w:before="72" w:after="0"/>
        <w:ind w:end="432" w:firstLine="432"/>
        <w:rPr/>
      </w:pPr>
      <w:r>
        <w:rPr>
          <w:spacing w:val="1"/>
          <w:szCs w:val="22"/>
        </w:rPr>
        <w:t>I</w:t>
      </w:r>
      <w:r>
        <w:rPr>
          <w:spacing w:val="1"/>
          <w:szCs w:val="22"/>
        </w:rPr>
        <w:t xml:space="preserve">n major museum collections around the world, Tang mirrors </w:t>
      </w:r>
      <w:r>
        <w:rPr>
          <w:spacing w:val="-1"/>
          <w:szCs w:val="22"/>
        </w:rPr>
        <w:t xml:space="preserve">of exquisite quality often stand out from other bronze decorative art. </w:t>
      </w:r>
      <w:r>
        <w:rPr>
          <w:spacing w:val="-2"/>
          <w:szCs w:val="22"/>
        </w:rPr>
        <w:t xml:space="preserve">Furthermore, Tang  mirrors survive in noticeably larger quantities than </w:t>
      </w:r>
      <w:r>
        <w:rPr>
          <w:spacing w:val="1"/>
          <w:szCs w:val="22"/>
        </w:rPr>
        <w:t xml:space="preserve">earlier bronze mirrors, which suggests a growing presence at that time </w:t>
      </w:r>
      <w:r>
        <w:rPr>
          <w:spacing w:val="-5"/>
          <w:szCs w:val="22"/>
        </w:rPr>
        <w:t xml:space="preserve">of socially and economically prominent gentry and merchants. Wealthy </w:t>
      </w:r>
      <w:r>
        <w:rPr>
          <w:spacing w:val="-1"/>
          <w:szCs w:val="22"/>
        </w:rPr>
        <w:t xml:space="preserve">cosmopolitan patrons living in this prosperous and stable time created a </w:t>
      </w:r>
      <w:r>
        <w:rPr>
          <w:spacing w:val="-2"/>
          <w:szCs w:val="22"/>
        </w:rPr>
        <w:t xml:space="preserve">market of sumptuous artistic connoisseurship that reached its peak around </w:t>
      </w:r>
      <w:r>
        <w:rPr>
          <w:spacing w:val="1"/>
          <w:szCs w:val="22"/>
        </w:rPr>
        <w:t>the late seventh to the beginning of the eighth century. As Professor Ju</w:t>
        <w:softHyphen/>
      </w:r>
      <w:r>
        <w:rPr>
          <w:szCs w:val="22"/>
        </w:rPr>
        <w:t>hsi Chou has pointed out,</w:t>
      </w:r>
      <w:r>
        <w:rPr>
          <w:rStyle w:val="FootnoteCharacters"/>
          <w:rStyle w:val="FootnoteAnchor"/>
          <w:szCs w:val="22"/>
        </w:rPr>
        <w:footnoteReference w:id="35"/>
      </w:r>
      <w:r>
        <w:rPr>
          <w:szCs w:val="22"/>
        </w:rPr>
        <w:t xml:space="preserve"> the dynastic capitals, or at times secondary </w:t>
      </w:r>
      <w:r>
        <w:rPr>
          <w:spacing w:val="-1"/>
          <w:szCs w:val="22"/>
        </w:rPr>
        <w:t>capitals, tended to be centers for the production and consumption</w:t>
      </w:r>
      <w:r>
        <mc:AlternateContent>
          <mc:Choice Requires="wps">
            <w:drawing>
              <wp:anchor behindDoc="1" distT="0" distB="0" distL="0" distR="0" simplePos="0" locked="0" layoutInCell="1" allowOverlap="1" relativeHeight="99">
                <wp:simplePos x="0" y="0"/>
                <wp:positionH relativeFrom="page">
                  <wp:posOffset>2865120</wp:posOffset>
                </wp:positionH>
                <wp:positionV relativeFrom="page">
                  <wp:posOffset>3703320</wp:posOffset>
                </wp:positionV>
                <wp:extent cx="2032635" cy="3227705"/>
                <wp:effectExtent l="0" t="0" r="0" b="0"/>
                <wp:wrapSquare wrapText="bothSides"/>
                <wp:docPr id="43" name="Frame3"/>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4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1.6pt;mso-position-vertical-relative:page;margin-left:225.6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4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
        <w:spacing w:before="72" w:after="0"/>
        <w:rPr>
          <w:szCs w:val="22"/>
        </w:rPr>
      </w:pPr>
      <w:r>
        <w:rPr>
          <w:szCs w:val="22"/>
        </w:rPr>
        <w:t>o</w:t>
      </w:r>
      <w:r>
        <w:rPr>
          <w:szCs w:val="22"/>
        </w:rPr>
        <w:t xml:space="preserve">f mirrors. By the Tang dynasty, in addition to the capitals,Yangzhou </w:t>
      </w:r>
      <w:r>
        <w:rPr>
          <w:spacing w:val="-4"/>
          <w:szCs w:val="22"/>
        </w:rPr>
        <w:t xml:space="preserve">produced exquisite mirrors and sent the best ones to the imperial court as </w:t>
      </w:r>
      <w:r>
        <w:rPr>
          <w:szCs w:val="22"/>
        </w:rPr>
        <w:t>tribute.</w:t>
      </w:r>
      <w:r>
        <w:rPr>
          <w:rStyle w:val="FootnoteCharacters"/>
          <w:rStyle w:val="FootnoteAnchor"/>
          <w:szCs w:val="22"/>
        </w:rPr>
        <w:footnoteReference w:id="36"/>
      </w:r>
      <w:r>
        <mc:AlternateContent>
          <mc:Choice Requires="wps">
            <w:drawing>
              <wp:anchor behindDoc="0" distT="0" distB="0" distL="0" distR="0" simplePos="0" locked="0" layoutInCell="1" allowOverlap="1" relativeHeight="62">
                <wp:simplePos x="0" y="0"/>
                <wp:positionH relativeFrom="page">
                  <wp:posOffset>4998720</wp:posOffset>
                </wp:positionH>
                <wp:positionV relativeFrom="page">
                  <wp:posOffset>3703320</wp:posOffset>
                </wp:positionV>
                <wp:extent cx="2157730" cy="3086100"/>
                <wp:effectExtent l="0" t="0" r="0" b="0"/>
                <wp:wrapSquare wrapText="bothSides"/>
                <wp:docPr id="46" name="Frame4"/>
                <a:graphic xmlns:a="http://schemas.openxmlformats.org/drawingml/2006/main">
                  <a:graphicData uri="http://schemas.microsoft.com/office/word/2010/wordprocessingShape">
                    <wps:wsp>
                      <wps:cNvSpPr txBox="1"/>
                      <wps:spPr>
                        <a:xfrm>
                          <a:off x="0" y="0"/>
                          <a:ext cx="2157730" cy="308610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0" w:name="_1367756058"/>
                                  <w:bookmarkEnd w:id="0"/>
                                  <w:r>
                                    <w:rPr/>
                                    <w:object>
                                      <v:shape id="ole_rId35" style="width:167.45pt;height:173.75pt" o:ole="">
                                        <v:imagedata r:id="rId36" o:title=""/>
                                      </v:shape>
                                      <o:OLEObject Type="Embed" ProgID="" ShapeID="ole_rId35" DrawAspect="Content" ObjectID="_1367192474" r:id="rId35"/>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43pt;mso-wrap-distance-left:0pt;mso-wrap-distance-right:0pt;mso-wrap-distance-top:0pt;mso-wrap-distance-bottom:0pt;margin-top:291.6pt;mso-position-vertical-relative:page;margin-left:393.6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1" w:name="_1367756058"/>
                            <w:bookmarkEnd w:id="1"/>
                            <w:r>
                              <w:rPr/>
                              <w:object>
                                <v:shape id="ole_rId37" style="width:167.45pt;height:173.75pt" o:ole="">
                                  <v:imagedata r:id="rId38" o:title=""/>
                                </v:shape>
                                <o:OLEObject Type="Embed" ProgID="" ShapeID="ole_rId37" DrawAspect="Content" ObjectID="_2098026334" r:id="rId37"/>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before="252" w:after="0"/>
        <w:ind w:end="72" w:firstLine="432"/>
        <w:rPr/>
      </w:pPr>
      <w:r>
        <w:rPr>
          <w:spacing w:val="-4"/>
          <w:szCs w:val="22"/>
        </w:rPr>
        <w:t xml:space="preserve">The opening of China's frontiers and the influx of Buddhist culture </w:t>
      </w:r>
      <w:r>
        <w:rPr>
          <w:spacing w:val="3"/>
          <w:szCs w:val="22"/>
        </w:rPr>
        <w:t xml:space="preserve">brought with it new inspiration for the vocabulary of decorative art. Many novel and exotic foreign objects were imported along the silk </w:t>
      </w:r>
      <w:r>
        <w:rPr>
          <w:szCs w:val="22"/>
        </w:rPr>
        <w:t>routes. At the same time, the Chinese worked on their own innovative ideas to fulfill their sense of creativity.</w:t>
      </w:r>
      <w:r>
        <w:rPr>
          <w:rStyle w:val="FootnoteCharacters"/>
          <w:rStyle w:val="FootnoteAnchor"/>
          <w:szCs w:val="22"/>
        </w:rPr>
        <w:footnoteReference w:id="37"/>
      </w:r>
      <w:r>
        <w:rPr>
          <w:szCs w:val="22"/>
        </w:rPr>
        <w:t xml:space="preserve"> The imperial house patronized </w:t>
      </w:r>
      <w:r>
        <w:rPr>
          <w:spacing w:val="-2"/>
          <w:szCs w:val="22"/>
        </w:rPr>
        <w:t xml:space="preserve">skilled metalsmiths and cultivated the taste for refined details, luxuriant designs, and inlays such as lacquer, glass, gold, and silver. The refined techniques developed in gold and silver ware, such as the Sassanian silver </w:t>
      </w:r>
      <w:r>
        <w:rPr>
          <w:szCs w:val="22"/>
        </w:rPr>
        <w:t>plate with partially gilded embossed figures (fig. 1), provided critical inspiration for the production of Tang mirrors.</w:t>
      </w:r>
    </w:p>
    <w:p>
      <w:pPr>
        <w:pStyle w:val="Normal"/>
        <w:rPr>
          <w:szCs w:val="22"/>
        </w:rPr>
      </w:pPr>
      <w:r>
        <w:rPr>
          <w:szCs w:val="22"/>
        </w:rPr>
      </w:r>
    </w:p>
    <w:p>
      <w:pPr>
        <w:pStyle w:val="Normal"/>
        <w:spacing w:lineRule="auto" w:line="271"/>
        <w:ind w:end="288" w:firstLine="432"/>
        <w:rPr/>
      </w:pPr>
      <w:r>
        <w:rPr>
          <w:spacing w:val="6"/>
          <w:szCs w:val="21"/>
        </w:rPr>
        <w:t xml:space="preserve">The cosmopolitan culture of Tang China not only reflected </w:t>
      </w:r>
      <w:r>
        <w:rPr>
          <w:spacing w:val="3"/>
          <w:szCs w:val="21"/>
        </w:rPr>
        <w:t xml:space="preserve">intensive interests in western counterparts, but also exerted a strong </w:t>
      </w:r>
      <w:r>
        <w:rPr>
          <w:spacing w:val="5"/>
          <w:szCs w:val="21"/>
        </w:rPr>
        <w:t xml:space="preserve">impact on Korea and Japan in the east. In fact, many superb Tang </w:t>
      </w:r>
      <w:r>
        <w:rPr>
          <w:spacing w:val="3"/>
          <w:szCs w:val="21"/>
        </w:rPr>
        <w:t xml:space="preserve">mirrors among those best known today are in the Shoso-in repository </w:t>
      </w:r>
      <w:r>
        <w:rPr>
          <w:spacing w:val="4"/>
          <w:szCs w:val="21"/>
        </w:rPr>
        <w:t xml:space="preserve">of the Todai-ji monastery at Nara in Japan. This legendary collection </w:t>
      </w:r>
      <w:r>
        <w:rPr>
          <w:szCs w:val="21"/>
        </w:rPr>
        <w:t xml:space="preserve">of imported Tang decorative art was primarily inherited from Emperor </w:t>
      </w:r>
      <w:r>
        <w:rPr>
          <w:spacing w:val="2"/>
          <w:szCs w:val="21"/>
        </w:rPr>
        <w:t xml:space="preserve">Shomu (r. 724-749 CE).The emperor, a devoted Buddhist, made the initial dedication of precious religious implements to the eye-opening ceremony of the bronze Great Buddha of the Todai-ji in 752. After Shomu died in </w:t>
      </w:r>
      <w:r>
        <w:rPr>
          <w:spacing w:val="3"/>
          <w:szCs w:val="21"/>
        </w:rPr>
        <w:t xml:space="preserve">756, his widow, the dowager empress Komyo, dedicated to the Buddha more than one thousand items from the late emperor's favorite personal </w:t>
      </w:r>
      <w:r>
        <w:rPr>
          <w:spacing w:val="6"/>
          <w:szCs w:val="21"/>
        </w:rPr>
        <w:t xml:space="preserve">and household belongings in five installments!' Included in this mid </w:t>
      </w:r>
      <w:r>
        <w:rPr>
          <w:spacing w:val="5"/>
          <w:szCs w:val="21"/>
        </w:rPr>
        <w:t xml:space="preserve">eighth-century repository are many Tang artworks ranking from fairly </w:t>
      </w:r>
      <w:r>
        <w:rPr>
          <w:spacing w:val="2"/>
          <w:szCs w:val="21"/>
        </w:rPr>
        <w:t>high to the very best quality, even by Chinese standards.</w:t>
      </w:r>
    </w:p>
    <w:p>
      <w:pPr>
        <w:pStyle w:val="Normal"/>
        <w:spacing w:lineRule="auto" w:line="271"/>
        <w:ind w:end="648" w:firstLine="432"/>
        <w:rPr/>
      </w:pPr>
      <w:r>
        <w:rPr>
          <w:spacing w:val="2"/>
          <w:szCs w:val="21"/>
        </w:rPr>
        <w:t xml:space="preserve">The legacy of the Shoso-in collection provides us profound </w:t>
      </w:r>
      <w:r>
        <w:rPr>
          <w:szCs w:val="21"/>
        </w:rPr>
        <w:t xml:space="preserve">examples for the technical excellence and exquisite design ofTang </w:t>
      </w:r>
      <w:r>
        <w:rPr>
          <w:spacing w:val="2"/>
          <w:szCs w:val="21"/>
        </w:rPr>
        <w:t xml:space="preserve">decorative art. The large quantity of mirrors (more than fifty) in </w:t>
      </w:r>
      <w:r>
        <w:rPr>
          <w:spacing w:val="4"/>
          <w:szCs w:val="21"/>
        </w:rPr>
        <w:t xml:space="preserve">the collection demonstrates that bronze mirrors were indeed highly </w:t>
      </w:r>
      <w:r>
        <w:rPr>
          <w:spacing w:val="2"/>
          <w:szCs w:val="21"/>
        </w:rPr>
        <w:t xml:space="preserve">appreciated by the court. Notable in this context is the eight-lobed mirror </w:t>
      </w:r>
      <w:r>
        <w:rPr>
          <w:spacing w:val="3"/>
          <w:szCs w:val="21"/>
        </w:rPr>
        <w:t>with silver back depicting the realm of the immortals (fig. 2).</w:t>
      </w:r>
    </w:p>
    <w:p>
      <w:pPr>
        <w:pStyle w:val="Normal"/>
        <w:spacing w:lineRule="auto" w:line="271"/>
        <w:ind w:end="216" w:firstLine="432"/>
        <w:jc w:val="both"/>
        <w:rPr>
          <w:spacing w:val="1"/>
          <w:szCs w:val="21"/>
        </w:rPr>
      </w:pPr>
      <w:r>
        <w:rPr>
          <w:spacing w:val="3"/>
          <w:szCs w:val="21"/>
        </w:rPr>
        <w:t xml:space="preserve">Tang mirrors preserve the world of artistic imagination </w:t>
      </w:r>
      <w:r>
        <w:rPr>
          <w:spacing w:val="2"/>
          <w:szCs w:val="21"/>
        </w:rPr>
        <w:t xml:space="preserve">as well as the cultural memory of the people at the time. To understand </w:t>
      </w:r>
      <w:r>
        <w:rPr>
          <w:spacing w:val="1"/>
          <w:szCs w:val="21"/>
        </w:rPr>
        <w:t xml:space="preserve">fully the iconology of the decorative motifs on these mirrors, one has to look further into decorative arts such as textiles, gold and silver, pottery, </w:t>
      </w:r>
      <w:r>
        <w:rPr>
          <w:spacing w:val="2"/>
          <w:szCs w:val="21"/>
        </w:rPr>
        <w:t xml:space="preserve">and architectural decoration. In general, however, unlike the abstract </w:t>
      </w:r>
      <w:r>
        <w:rPr>
          <w:spacing w:val="4"/>
          <w:szCs w:val="21"/>
        </w:rPr>
        <w:t xml:space="preserve">cosmological patterns of the Han TLV mirrors, those of the Tang era focus more closely on the living world of birds and flowers, animated </w:t>
      </w:r>
      <w:r>
        <w:rPr>
          <w:spacing w:val="2"/>
          <w:szCs w:val="21"/>
        </w:rPr>
        <w:t xml:space="preserve">animals, and idealized immortals living in a scenic garden. </w:t>
      </w:r>
    </w:p>
    <w:p>
      <w:pPr>
        <w:pStyle w:val="Normal"/>
        <w:spacing w:before="288" w:after="0"/>
        <w:rPr>
          <w:i/>
          <w:i/>
          <w:iCs/>
          <w:spacing w:val="-10"/>
          <w:szCs w:val="19"/>
        </w:rPr>
      </w:pPr>
      <w:r>
        <w:rPr>
          <w:i/>
          <w:iCs/>
          <w:spacing w:val="-10"/>
          <w:szCs w:val="19"/>
        </w:rPr>
        <w:t>Floral Motifs</w:t>
      </w:r>
    </w:p>
    <w:p>
      <w:pPr>
        <w:pStyle w:val="Normal"/>
        <w:ind w:end="72" w:hanging="0"/>
        <w:rPr/>
      </w:pPr>
      <w:r>
        <w:rPr>
          <w:spacing w:val="1"/>
          <w:szCs w:val="21"/>
        </w:rPr>
        <w:t xml:space="preserve">Floral motifs are probably the most common decoration on Tang mirrors. </w:t>
      </w:r>
      <w:r>
        <w:rPr>
          <w:spacing w:val="4"/>
          <w:szCs w:val="21"/>
        </w:rPr>
        <w:t xml:space="preserve">In addition to depictions of peony, camellia, and gardenia on the backs, </w:t>
      </w:r>
      <w:r>
        <w:rPr>
          <w:spacing w:val="1"/>
          <w:szCs w:val="21"/>
        </w:rPr>
        <w:t xml:space="preserve">the contours of many mirrors are themselves designed to imitate that of a </w:t>
      </w:r>
      <w:r>
        <w:rPr>
          <w:spacing w:val="2"/>
          <w:szCs w:val="21"/>
        </w:rPr>
        <w:t>full-blown flower with six or more petals. A splendid example is an eight</w:t>
        <w:noBreakHyphen/>
      </w:r>
      <w:r>
        <w:rPr>
          <w:spacing w:val="2"/>
          <w:szCs w:val="22"/>
        </w:rPr>
        <w:t>l</w:t>
      </w:r>
      <w:r>
        <w:rPr>
          <w:spacing w:val="2"/>
          <w:szCs w:val="22"/>
        </w:rPr>
        <w:t>obed mirror with floral motif in the Sumitomo collection of the Sen</w:t>
        <w:softHyphen/>
      </w:r>
      <w:r>
        <w:rPr>
          <w:spacing w:val="-2"/>
          <w:szCs w:val="22"/>
        </w:rPr>
        <w:t xml:space="preserve">oku Hakko Kan (fig. 3). In the outer circle, an array of eight large floral </w:t>
      </w:r>
      <w:r>
        <w:rPr>
          <w:szCs w:val="22"/>
        </w:rPr>
        <w:t xml:space="preserve">patterns fills up the entire space with a sense of voluptuous elegance. A </w:t>
      </w:r>
      <w:r>
        <w:rPr>
          <w:spacing w:val="-1"/>
          <w:szCs w:val="22"/>
        </w:rPr>
        <w:t xml:space="preserve">mirror of similar design is in the Carter collection (fig. 4); both are in the </w:t>
      </w:r>
      <w:r>
        <w:rPr>
          <w:szCs w:val="22"/>
        </w:rPr>
        <w:t>style of the eighth century.</w:t>
      </w:r>
      <w:r>
        <mc:AlternateContent>
          <mc:Choice Requires="wps">
            <w:drawing>
              <wp:anchor behindDoc="1" distT="0" distB="0" distL="0" distR="0" simplePos="0" locked="0" layoutInCell="1" allowOverlap="1" relativeHeight="63">
                <wp:simplePos x="0" y="0"/>
                <wp:positionH relativeFrom="column">
                  <wp:posOffset>-76200</wp:posOffset>
                </wp:positionH>
                <wp:positionV relativeFrom="paragraph">
                  <wp:posOffset>635</wp:posOffset>
                </wp:positionV>
                <wp:extent cx="2002790" cy="5592445"/>
                <wp:effectExtent l="0" t="0" r="0" b="0"/>
                <wp:wrapSquare wrapText="bothSides"/>
                <wp:docPr id="47" name="Frame5"/>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4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4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5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5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spacing w:val="-3"/>
          <w:szCs w:val="22"/>
        </w:rPr>
        <w:t xml:space="preserve">In fact, variations of lobed and foliated mirrors became the favorite </w:t>
      </w:r>
      <w:r>
        <w:rPr>
          <w:spacing w:val="-2"/>
          <w:szCs w:val="22"/>
        </w:rPr>
        <w:t xml:space="preserve">contours of the Tang craftsman. The popularity of flower motifs, especially that of the lotus flower, has always been associated with the demands of </w:t>
      </w:r>
      <w:r>
        <w:rPr>
          <w:spacing w:val="2"/>
          <w:szCs w:val="22"/>
        </w:rPr>
        <w:t xml:space="preserve">Buddhism. For example, a brilliantly painted and gilded wood object in the form of a lotus (fig. 5) presumably served as a base for an offering </w:t>
      </w:r>
      <w:r>
        <w:rPr>
          <w:spacing w:val="-1"/>
          <w:szCs w:val="22"/>
        </w:rPr>
        <w:t xml:space="preserve">lamp used in a temple. The icon of a fully blossoming lotus flower is </w:t>
      </w:r>
      <w:r>
        <w:rPr>
          <w:spacing w:val="2"/>
          <w:szCs w:val="22"/>
        </w:rPr>
        <w:t xml:space="preserve">also a prominent decorative element in Buddhist architecture in the </w:t>
      </w:r>
      <w:r>
        <w:rPr>
          <w:spacing w:val="-5"/>
          <w:szCs w:val="22"/>
        </w:rPr>
        <w:t xml:space="preserve">Yungang cave temples during the Northern Wei dynasty around the 460's. </w:t>
      </w:r>
      <w:r>
        <w:rPr>
          <w:szCs w:val="22"/>
        </w:rPr>
        <w:t xml:space="preserve">Moreover, from early Buddhism on, lotus flowers were widely applied </w:t>
      </w:r>
      <w:r>
        <w:rPr>
          <w:spacing w:val="-2"/>
          <w:szCs w:val="22"/>
        </w:rPr>
        <w:t xml:space="preserve">to halos, for instance, to symbolize the brightness of Buddha's wisdom. However, we should not overlook the fact that as early as the Han dynasty, </w:t>
      </w:r>
      <w:r>
        <w:rPr>
          <w:szCs w:val="22"/>
        </w:rPr>
        <w:t xml:space="preserve">the lotus flower was often painted on the ceiling of a tomb chamber </w:t>
      </w:r>
      <w:r>
        <w:rPr>
          <w:spacing w:val="2"/>
          <w:szCs w:val="22"/>
        </w:rPr>
        <w:t>to symbolize the celestial body.</w:t>
      </w:r>
      <w:r>
        <w:rPr>
          <w:rStyle w:val="FootnoteCharacters"/>
          <w:rStyle w:val="FootnoteAnchor"/>
          <w:spacing w:val="2"/>
          <w:szCs w:val="22"/>
        </w:rPr>
        <w:footnoteReference w:id="38"/>
      </w:r>
      <w:r>
        <w:rPr>
          <w:spacing w:val="2"/>
          <w:szCs w:val="22"/>
        </w:rPr>
        <w:t xml:space="preserve"> Therefore, the widely applied lotus </w:t>
      </w:r>
      <w:r>
        <w:rPr>
          <w:spacing w:val="-5"/>
          <w:szCs w:val="22"/>
        </w:rPr>
        <w:t xml:space="preserve">flower on mirrors seems to be a happy combination of ancient symbolic </w:t>
      </w:r>
      <w:r>
        <w:rPr>
          <w:szCs w:val="22"/>
        </w:rPr>
        <w:t>association and newly popularized Buddhism.</w:t>
      </w:r>
    </w:p>
    <w:p>
      <w:pPr>
        <w:pStyle w:val="Normal"/>
        <w:spacing w:before="72" w:after="0"/>
        <w:ind w:end="144" w:firstLine="432"/>
        <w:rPr/>
      </w:pPr>
      <w:r>
        <w:rPr>
          <w:spacing w:val="-2"/>
          <w:szCs w:val="22"/>
        </w:rPr>
        <w:t xml:space="preserve">Besides the lotus flower, floral motifs on Tang mirrors were often </w:t>
      </w:r>
      <w:r>
        <w:rPr>
          <w:spacing w:val="-5"/>
          <w:szCs w:val="22"/>
        </w:rPr>
        <w:t xml:space="preserve">inspired by sophisticated designs on textiles imported from the Near East </w:t>
      </w:r>
      <w:r>
        <w:rPr>
          <w:spacing w:val="-2"/>
          <w:szCs w:val="22"/>
        </w:rPr>
        <w:t xml:space="preserve">through the Silk Road. With great enthusiasm, Tang emperors demanded </w:t>
      </w:r>
      <w:r>
        <w:rPr>
          <w:spacing w:val="-1"/>
          <w:szCs w:val="22"/>
        </w:rPr>
        <w:t>that scholars in the court prepare meticulous records and studies of the exotic plants, animals, and artifacts brought by foreign envoys.</w:t>
      </w:r>
      <w:r>
        <w:rPr>
          <w:spacing w:val="-1"/>
          <w:w w:val="110"/>
          <w:szCs w:val="22"/>
          <w:vertAlign w:val="superscript"/>
        </w:rPr>
        <w:t>9</w:t>
      </w:r>
      <w:r>
        <w:rPr>
          <w:spacing w:val="-1"/>
          <w:szCs w:val="22"/>
        </w:rPr>
        <w:t xml:space="preserve"> Such </w:t>
      </w:r>
      <w:r>
        <w:rPr>
          <w:spacing w:val="1"/>
          <w:szCs w:val="22"/>
        </w:rPr>
        <w:t xml:space="preserve">records provided a wide-ranging array of innovative ideas to the delight </w:t>
      </w:r>
      <w:r>
        <w:rPr>
          <w:szCs w:val="22"/>
        </w:rPr>
        <w:t>of the aristocratic society in the capital.</w:t>
      </w:r>
    </w:p>
    <w:p>
      <w:pPr>
        <w:pStyle w:val="Normal"/>
        <w:spacing w:before="72" w:after="0"/>
        <w:ind w:end="144" w:firstLine="432"/>
        <w:rPr>
          <w:spacing w:val="-1"/>
          <w:szCs w:val="22"/>
        </w:rPr>
      </w:pPr>
      <w:r>
        <w:rPr>
          <w:spacing w:val="-1"/>
          <w:szCs w:val="22"/>
        </w:rPr>
      </w:r>
    </w:p>
    <w:p>
      <w:pPr>
        <w:pStyle w:val="Normal"/>
        <w:spacing w:before="72" w:after="0"/>
        <w:ind w:end="144" w:firstLine="432"/>
        <w:rPr/>
      </w:pPr>
      <w:r>
        <w:rPr/>
        <w:drawing>
          <wp:inline distT="0" distB="0" distL="0" distR="0">
            <wp:extent cx="2062480" cy="958215"/>
            <wp:effectExtent l="0" t="0" r="0" b="0"/>
            <wp:docPr id="5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 descr="" title=""/>
                    <pic:cNvPicPr>
                      <a:picLocks noChangeAspect="1" noChangeArrowheads="1"/>
                    </pic:cNvPicPr>
                  </pic:nvPicPr>
                  <pic:blipFill>
                    <a:blip r:embed="rId4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sz w:val="20"/>
          <w:szCs w:val="22"/>
        </w:rPr>
      </w:pPr>
      <w:r>
        <w:rPr>
          <w:spacing w:val="4"/>
          <w:sz w:val="20"/>
          <w:szCs w:val="18"/>
        </w:rPr>
        <w:t xml:space="preserve">Fig. </w:t>
      </w:r>
      <w:r>
        <w:rPr>
          <w:i/>
          <w:iCs/>
          <w:spacing w:val="4"/>
          <w:w w:val="70"/>
          <w:sz w:val="20"/>
          <w:szCs w:val="15"/>
        </w:rPr>
        <w:t xml:space="preserve">5. </w:t>
      </w:r>
      <w:r>
        <w:rPr>
          <w:spacing w:val="4"/>
          <w:sz w:val="20"/>
          <w:szCs w:val="18"/>
        </w:rPr>
        <w:t xml:space="preserve">Lotus-flower-shaped Pedestal, </w:t>
      </w:r>
      <w:r>
        <w:rPr>
          <w:spacing w:val="-3"/>
          <w:sz w:val="20"/>
          <w:szCs w:val="18"/>
        </w:rPr>
        <w:t xml:space="preserve">lacquer and gold-leaf on wood, H. 17 cm. </w:t>
      </w:r>
      <w:r>
        <w:rPr>
          <w:spacing w:val="-2"/>
          <w:sz w:val="20"/>
          <w:szCs w:val="18"/>
        </w:rPr>
        <w:t xml:space="preserve">Shoso-in, Nara. After </w:t>
      </w:r>
      <w:r>
        <w:rPr>
          <w:i/>
          <w:iCs/>
          <w:spacing w:val="-2"/>
          <w:sz w:val="20"/>
          <w:szCs w:val="14"/>
        </w:rPr>
        <w:t xml:space="preserve">Nihon bijutsu zenshtl, </w:t>
      </w:r>
      <w:r>
        <w:rPr>
          <w:spacing w:val="-4"/>
          <w:sz w:val="20"/>
          <w:szCs w:val="18"/>
        </w:rPr>
        <w:t>5: 94, 95.</w:t>
      </w:r>
    </w:p>
    <w:p>
      <w:pPr>
        <w:pStyle w:val="Normal"/>
        <w:spacing w:lineRule="auto" w:line="264" w:before="144" w:after="0"/>
        <w:ind w:end="288" w:firstLine="432"/>
        <w:rPr/>
      </w:pPr>
      <w:r>
        <w:rPr>
          <w:spacing w:val="1"/>
          <w:szCs w:val="22"/>
        </w:rPr>
        <w:t xml:space="preserve">The roundel pattern in the center of the Shoso-in mirror with </w:t>
      </w:r>
      <w:r>
        <w:rPr>
          <w:spacing w:val="2"/>
          <w:szCs w:val="22"/>
        </w:rPr>
        <w:t xml:space="preserve">mother-of-pearl inlay (fig. 6) is as splendid as that of a multicolored </w:t>
      </w:r>
      <w:r>
        <w:rPr>
          <w:spacing w:val="-3"/>
          <w:szCs w:val="22"/>
        </w:rPr>
        <w:t xml:space="preserve">rug. Four smaller roundels appear equally spaced in the outer circle. Set </w:t>
      </w:r>
      <w:r>
        <w:rPr>
          <w:szCs w:val="22"/>
        </w:rPr>
        <w:t xml:space="preserve">against a black lacquer background, mother-of-pearl as well as amber, </w:t>
      </w:r>
      <w:r>
        <w:rPr>
          <w:spacing w:val="-2"/>
          <w:szCs w:val="22"/>
        </w:rPr>
        <w:t xml:space="preserve">tortoise shell, and rock crystal are employed to compose a fantastic design. </w:t>
      </w:r>
      <w:r>
        <w:rPr>
          <w:spacing w:val="1"/>
          <w:szCs w:val="22"/>
        </w:rPr>
        <w:t xml:space="preserve">The iridescent brilliance of the mother-of-pearl and the bright colors </w:t>
      </w:r>
      <w:r>
        <w:rPr>
          <w:spacing w:val="-5"/>
          <w:szCs w:val="22"/>
        </w:rPr>
        <w:t xml:space="preserve">of the stones achieve a glittering effect on the surface, at the same time </w:t>
      </w:r>
      <w:r>
        <w:rPr>
          <w:szCs w:val="22"/>
        </w:rPr>
        <w:t>suggesting volume and mass in their curvilinear forms.</w:t>
      </w:r>
    </w:p>
    <w:p>
      <w:pPr>
        <w:pStyle w:val="Normal"/>
        <w:spacing w:lineRule="auto" w:line="264" w:before="144" w:after="0"/>
        <w:ind w:end="288" w:firstLine="432"/>
        <w:rPr/>
      </w:pPr>
      <w:r>
        <w:rPr>
          <w:szCs w:val="22"/>
        </w:rPr>
        <w:t xml:space="preserve">Another powerful example of floral motifs is seen on the gold and </w:t>
      </w:r>
      <w:r>
        <w:rPr>
          <w:spacing w:val="-1"/>
          <w:szCs w:val="22"/>
        </w:rPr>
        <w:t xml:space="preserve">glass-backed cloisonné mirror (fig. 7). Of shiny silver on the front, on the back are three overlapping layers of six-lobed lotus-flower patterns in gold </w:t>
      </w:r>
      <w:r>
        <w:rPr>
          <w:szCs w:val="22"/>
        </w:rPr>
        <w:t xml:space="preserve">and cloisonné enamels.The striking lotus petals are covered with patterns and stripes in relief in green, black, and brown, imitating the taste of </w:t>
      </w:r>
      <w:r>
        <w:rPr>
          <w:i/>
          <w:iCs/>
          <w:spacing w:val="-10"/>
          <w:szCs w:val="21"/>
        </w:rPr>
        <w:t>Birds and Flowers.</w:t>
      </w:r>
    </w:p>
    <w:p>
      <w:pPr>
        <w:pStyle w:val="Normal"/>
        <w:spacing w:before="72" w:after="0"/>
        <w:ind w:end="144" w:hanging="0"/>
        <w:rPr/>
      </w:pPr>
      <w:r>
        <w:rPr>
          <w:spacing w:val="2"/>
          <w:szCs w:val="22"/>
        </w:rPr>
        <w:t xml:space="preserve">Bird-and-flower motifs, especially that of a bird holding a flowering </w:t>
      </w:r>
      <w:r>
        <w:rPr>
          <w:spacing w:val="-1"/>
          <w:szCs w:val="22"/>
        </w:rPr>
        <w:t xml:space="preserve">branch in its beak, are considered auspicious signs in Chinese tradition. </w:t>
      </w:r>
      <w:r>
        <w:rPr>
          <w:spacing w:val="1"/>
          <w:szCs w:val="22"/>
        </w:rPr>
        <w:t xml:space="preserve">Floral patterns and blossoms take on an almost metaphysical quality in </w:t>
      </w:r>
      <w:r>
        <w:rPr>
          <w:szCs w:val="22"/>
        </w:rPr>
        <w:t xml:space="preserve">the lively design of an eight-lobed mirror backed with gold and silver in </w:t>
      </w:r>
      <w:r>
        <w:rPr>
          <w:spacing w:val="-2"/>
          <w:szCs w:val="22"/>
        </w:rPr>
        <w:t>the Cleveland Museum of Art collection and a square one with a similar</w:t>
      </w:r>
      <w:r>
        <w:rPr>
          <w:spacing w:val="-7"/>
          <w:szCs w:val="17"/>
        </w:rPr>
        <w:t>.</w:t>
      </w:r>
      <w:r>
        <w:rPr>
          <w:spacing w:val="1"/>
          <w:szCs w:val="22"/>
        </w:rPr>
        <w:t>t</w:t>
      </w:r>
      <w:r>
        <w:rPr>
          <w:spacing w:val="1"/>
          <w:szCs w:val="22"/>
        </w:rPr>
        <w:t xml:space="preserve">hree-color pottery popular at the time. The distinct sculptural quality sets </w:t>
      </w:r>
      <w:r>
        <w:rPr>
          <w:spacing w:val="-4"/>
          <w:szCs w:val="22"/>
        </w:rPr>
        <w:t xml:space="preserve">it apart from other Tang mirrors, and it is unique in every aspect of design, </w:t>
      </w:r>
      <w:r>
        <w:rPr>
          <w:szCs w:val="22"/>
        </w:rPr>
        <w:t>material, and technique.</w:t>
      </w:r>
      <w:r>
        <mc:AlternateContent>
          <mc:Choice Requires="wps">
            <w:drawing>
              <wp:anchor behindDoc="1" distT="0" distB="0" distL="0" distR="0" simplePos="0" locked="0" layoutInCell="1" allowOverlap="1" relativeHeight="64">
                <wp:simplePos x="0" y="0"/>
                <wp:positionH relativeFrom="page">
                  <wp:posOffset>727710</wp:posOffset>
                </wp:positionH>
                <wp:positionV relativeFrom="page">
                  <wp:posOffset>3795395</wp:posOffset>
                </wp:positionV>
                <wp:extent cx="1844040" cy="2725420"/>
                <wp:effectExtent l="0" t="0" r="0" b="0"/>
                <wp:wrapSquare wrapText="bothSides"/>
                <wp:docPr id="53" name="Frame6"/>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5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5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szCs w:val="22"/>
        </w:rPr>
      </w:pPr>
      <w:r>
        <w:rPr>
          <w:szCs w:val="22"/>
        </w:rPr>
      </w:r>
    </w:p>
    <w:p>
      <w:pPr>
        <w:pStyle w:val="Normal"/>
        <w:spacing w:before="72" w:after="0"/>
        <w:ind w:end="144" w:hanging="0"/>
        <w:rPr/>
      </w:pPr>
      <w:r>
        <w:rPr>
          <w:spacing w:val="-2"/>
          <w:szCs w:val="22"/>
        </w:rPr>
        <w:t xml:space="preserve">design in the Asia Society collection in New York (figs. 8, 9).A special technique of decoration, called </w:t>
      </w:r>
      <w:r>
        <w:rPr>
          <w:i/>
          <w:iCs/>
          <w:spacing w:val="-2"/>
          <w:szCs w:val="21"/>
        </w:rPr>
        <w:t xml:space="preserve">pingtuo </w:t>
      </w:r>
      <w:r>
        <w:rPr>
          <w:spacing w:val="-2"/>
          <w:szCs w:val="22"/>
        </w:rPr>
        <w:t xml:space="preserve">in Chinese or </w:t>
      </w:r>
      <w:r>
        <w:rPr>
          <w:i/>
          <w:iCs/>
          <w:spacing w:val="-2"/>
          <w:szCs w:val="21"/>
        </w:rPr>
        <w:t xml:space="preserve">heidatsu </w:t>
      </w:r>
      <w:r>
        <w:rPr>
          <w:spacing w:val="-2"/>
          <w:szCs w:val="22"/>
        </w:rPr>
        <w:t xml:space="preserve">in Japanese, </w:t>
      </w:r>
      <w:r>
        <w:rPr>
          <w:spacing w:val="-1"/>
          <w:szCs w:val="22"/>
        </w:rPr>
        <w:t>is applied to this type of mirror. Delicate designs of birds, flowers cut</w:t>
      </w:r>
    </w:p>
    <w:p>
      <w:pPr>
        <w:pStyle w:val="Normal"/>
        <w:spacing w:before="144" w:after="0"/>
        <w:ind w:end="360" w:hanging="0"/>
        <w:rPr/>
      </w:pPr>
      <w:r>
        <w:rPr>
          <w:spacing w:val="-1"/>
          <w:szCs w:val="22"/>
        </w:rPr>
        <w:t xml:space="preserve">in gold, and silver leaves are embedded in a lacquered surface. Against </w:t>
      </w:r>
      <w:r>
        <w:rPr>
          <w:spacing w:val="-2"/>
          <w:szCs w:val="22"/>
        </w:rPr>
        <w:t xml:space="preserve">the black-lacquer background, the thin strips of gold and silver decor </w:t>
      </w:r>
      <w:r>
        <w:rPr>
          <w:spacing w:val="-1"/>
          <w:szCs w:val="22"/>
        </w:rPr>
        <w:t>display a distinctive high luster. Although different in shape, these two</w:t>
      </w:r>
    </w:p>
    <w:p>
      <w:pPr>
        <w:pStyle w:val="Normal"/>
        <w:spacing w:lineRule="auto" w:line="264" w:before="72" w:after="0"/>
        <w:rPr/>
      </w:pPr>
      <w:r>
        <w:rPr>
          <w:spacing w:val="-4"/>
          <w:szCs w:val="22"/>
        </w:rPr>
        <w:t xml:space="preserve">mirrors follow the same symmetrical design order and can be dated to the </w:t>
      </w:r>
      <w:r>
        <w:rPr>
          <w:spacing w:val="1"/>
          <w:szCs w:val="22"/>
        </w:rPr>
        <w:t>beginning of the eighth century.</w:t>
      </w:r>
    </w:p>
    <w:p>
      <w:pPr>
        <w:pStyle w:val="Normal"/>
        <w:spacing w:lineRule="auto" w:line="204" w:before="144" w:after="0"/>
        <w:rPr/>
      </w:pPr>
      <w:r>
        <w:rPr>
          <w:spacing w:val="1"/>
          <w:szCs w:val="22"/>
        </w:rPr>
        <w:t xml:space="preserve">One of the strengths of the Tang mirrors in the Carter collection </w:t>
      </w:r>
      <w:r>
        <w:rPr>
          <w:spacing w:val="2"/>
          <w:szCs w:val="22"/>
        </w:rPr>
        <w:t xml:space="preserve">falls in the category of simple yet elegant bird-and-flower mirrors (fig. </w:t>
      </w:r>
      <w:r>
        <w:rPr>
          <w:spacing w:val="4"/>
          <w:szCs w:val="22"/>
        </w:rPr>
        <w:t xml:space="preserve">10). An interesting comparison is offered by a piece in the National </w:t>
      </w:r>
      <w:r>
        <w:rPr>
          <w:spacing w:val="1"/>
          <w:szCs w:val="22"/>
        </w:rPr>
        <w:t xml:space="preserve">Palace Museum,Taipei (fig. 11). Serenity permeates the compositions of </w:t>
      </w:r>
      <w:r>
        <w:rPr>
          <w:szCs w:val="22"/>
        </w:rPr>
        <w:t xml:space="preserve">these two eight-lobed mirrors.A pair of ducks or phoenixes in flight, symbolizing auspiciousness and happiness in marriage, makes mirrors of </w:t>
      </w:r>
      <w:r>
        <w:rPr>
          <w:spacing w:val="-1"/>
          <w:szCs w:val="22"/>
        </w:rPr>
        <w:t xml:space="preserve">this kind precious presents for weddings and other occasions. In addition, </w:t>
      </w:r>
      <w:r>
        <w:rPr>
          <w:spacing w:val="3"/>
          <w:szCs w:val="22"/>
        </w:rPr>
        <w:t xml:space="preserve">the brilliant rosette pattern on the top of the mirror in the National </w:t>
      </w:r>
      <w:r>
        <w:rPr>
          <w:szCs w:val="22"/>
        </w:rPr>
        <w:t xml:space="preserve">Palace Museum and the symmetrical branches of flowers on the Carter </w:t>
      </w:r>
      <w:r>
        <w:rPr>
          <w:spacing w:val="1"/>
          <w:szCs w:val="22"/>
        </w:rPr>
        <w:t xml:space="preserve">mirror each display a sense of harmony and prosperity appropriate for </w:t>
      </w:r>
      <w:r>
        <w:rPr>
          <w:szCs w:val="22"/>
        </w:rPr>
        <w:t xml:space="preserve">good wishes. </w:t>
      </w:r>
      <w:r>
        <w:rPr>
          <w:i/>
          <w:iCs/>
          <w:szCs w:val="22"/>
        </w:rPr>
        <w:t>Plants and Animals</w:t>
      </w:r>
    </w:p>
    <w:p>
      <w:pPr>
        <w:pStyle w:val="Normal"/>
        <w:spacing w:before="72" w:after="0"/>
        <w:ind w:end="72" w:hanging="0"/>
        <w:rPr/>
      </w:pPr>
      <w:r>
        <w:rPr>
          <w:szCs w:val="22"/>
        </w:rPr>
        <w:t xml:space="preserve">Undoubtedly, animal-and-grapevine mirrors are the most famous Tang </w:t>
      </w:r>
      <w:r>
        <w:rPr>
          <w:spacing w:val="4"/>
          <w:szCs w:val="22"/>
        </w:rPr>
        <w:t xml:space="preserve">mirrors. Such mirrors are well documented and make up the largest </w:t>
      </w:r>
      <w:r>
        <w:rPr>
          <w:szCs w:val="22"/>
        </w:rPr>
        <w:t>group from the tombs dated between 664 and 711.</w:t>
      </w:r>
      <w:r>
        <w:rPr>
          <w:szCs w:val="22"/>
          <w:vertAlign w:val="superscript"/>
        </w:rPr>
        <w:t>10</w:t>
      </w:r>
      <w:r>
        <w:rPr>
          <w:szCs w:val="22"/>
        </w:rPr>
        <w:t xml:space="preserve"> Grapes were </w:t>
      </w:r>
      <w:r>
        <w:rPr>
          <w:spacing w:val="5"/>
          <w:szCs w:val="22"/>
        </w:rPr>
        <w:t xml:space="preserve">introduced into China from the west as early as the Han dynasty." </w:t>
      </w:r>
      <w:r>
        <w:rPr>
          <w:spacing w:val="-4"/>
          <w:szCs w:val="22"/>
        </w:rPr>
        <w:t xml:space="preserve">Animal-and-grapevine mirrors characterize best the sculptural quality and </w:t>
      </w:r>
      <w:r>
        <w:rPr>
          <w:szCs w:val="22"/>
        </w:rPr>
        <w:t>compelling energy of the Tang culture in the latter half of the seventh</w:t>
      </w:r>
    </w:p>
    <w:p>
      <w:pPr>
        <w:pStyle w:val="Normal"/>
        <w:spacing w:before="252" w:after="144"/>
        <w:ind w:end="216" w:hanging="0"/>
        <w:rPr/>
      </w:pPr>
      <w:r>
        <w:rPr>
          <w:spacing w:val="1"/>
          <w:szCs w:val="22"/>
        </w:rPr>
        <w:t xml:space="preserve">to the beginning of the eighth century. The decorations on two mirrors </w:t>
      </w:r>
      <w:r>
        <w:rPr>
          <w:spacing w:val="-2"/>
          <w:szCs w:val="22"/>
        </w:rPr>
        <w:t xml:space="preserve">in the Carter collection (figs. 12, 13) demonstrate the excellence of the </w:t>
      </w:r>
      <w:r>
        <w:rPr>
          <w:spacing w:val="2"/>
          <w:szCs w:val="22"/>
        </w:rPr>
        <w:t xml:space="preserve">type.The more sophisticated one (fig. 13) displays a delight of energy </w:t>
      </w:r>
      <w:r>
        <w:rPr>
          <w:szCs w:val="22"/>
        </w:rPr>
        <w:t xml:space="preserve">and abundance. Heavy grapevines and grapes float into the background </w:t>
      </w:r>
      <w:r>
        <w:rPr>
          <w:spacing w:val="3"/>
          <w:szCs w:val="22"/>
        </w:rPr>
        <w:t xml:space="preserve">like a melody eulogizing the world of bird and animal. In the center </w:t>
      </w:r>
      <w:r>
        <w:rPr>
          <w:spacing w:val="-1"/>
          <w:szCs w:val="22"/>
        </w:rPr>
        <w:t xml:space="preserve">field, playing in the midst of grapevines, six lion-like creatures, including </w:t>
      </w:r>
      <w:r>
        <w:rPr>
          <w:szCs w:val="22"/>
        </w:rPr>
        <w:t xml:space="preserve">the one crouching in the middle, each look in various directions in </w:t>
      </w:r>
      <w:r>
        <w:rPr>
          <w:spacing w:val="-1"/>
          <w:szCs w:val="22"/>
        </w:rPr>
        <w:t xml:space="preserve">metaphysical poses. In the outer field, birds either spread their wings or </w:t>
      </w:r>
      <w:r>
        <w:rPr>
          <w:spacing w:val="-3"/>
          <w:szCs w:val="22"/>
        </w:rPr>
        <w:t xml:space="preserve">stand still vigilantly. Realistic details of the animals, such as their fur and </w:t>
      </w:r>
      <w:r>
        <w:rPr>
          <w:szCs w:val="22"/>
        </w:rPr>
        <w:t>spines, are carefully described to attract the attention of the viewer.</w:t>
      </w:r>
    </w:p>
    <w:p>
      <w:pPr>
        <w:pStyle w:val="Normal"/>
        <w:ind w:end="288" w:firstLine="504"/>
        <w:rPr/>
      </w:pPr>
      <w:r>
        <w:rPr>
          <w:szCs w:val="22"/>
        </w:rPr>
        <w:t>S</w:t>
      </w:r>
      <w:r>
        <w:rPr>
          <w:szCs w:val="22"/>
        </w:rPr>
        <w:t xml:space="preserve">imple but vigorous designs of bird and animal are set against a </w:t>
      </w:r>
      <w:r>
        <w:rPr>
          <w:spacing w:val="-1"/>
          <w:szCs w:val="22"/>
        </w:rPr>
        <w:t xml:space="preserve">clear background in the bracket-shaped mirror in the collection of the </w:t>
      </w:r>
      <w:r>
        <w:rPr>
          <w:spacing w:val="3"/>
          <w:szCs w:val="22"/>
        </w:rPr>
        <w:t xml:space="preserve">Arthur M. Sackler Museum, Harvard University. In the large center </w:t>
      </w:r>
      <w:r>
        <w:rPr>
          <w:spacing w:val="-2"/>
          <w:szCs w:val="22"/>
        </w:rPr>
        <w:t xml:space="preserve">field, amid scrolls of fully blossoming flowers, two fantastic animals and </w:t>
      </w:r>
      <w:r>
        <w:rPr>
          <w:szCs w:val="22"/>
        </w:rPr>
        <w:t xml:space="preserve">two phoenixes occupy the four directions. The joyfully strutting lions </w:t>
      </w:r>
      <w:r>
        <w:rPr>
          <w:spacing w:val="-1"/>
          <w:szCs w:val="22"/>
        </w:rPr>
        <w:t xml:space="preserve">each raise one paw and hold a flowering branch in another paw while </w:t>
      </w:r>
      <w:r>
        <w:rPr>
          <w:spacing w:val="1"/>
          <w:szCs w:val="22"/>
        </w:rPr>
        <w:t xml:space="preserve">looking at phoenixes perching in the back. In the narrow outer field, </w:t>
      </w:r>
      <w:r>
        <w:rPr>
          <w:spacing w:val="-2"/>
          <w:szCs w:val="22"/>
        </w:rPr>
        <w:t xml:space="preserve">peaceful garden scenes with birds and flowers are depicted. Mirrors of this </w:t>
      </w:r>
      <w:r>
        <w:rPr>
          <w:spacing w:val="-1"/>
          <w:szCs w:val="22"/>
        </w:rPr>
        <w:t>type have been found in tombs datable to the period from 690 to 710.</w:t>
      </w:r>
      <w:r>
        <mc:AlternateContent>
          <mc:Choice Requires="wps">
            <w:drawing>
              <wp:anchor behindDoc="1" distT="0" distB="0" distL="0" distR="0" simplePos="0" locked="0" layoutInCell="1" allowOverlap="1" relativeHeight="65">
                <wp:simplePos x="0" y="0"/>
                <wp:positionH relativeFrom="page">
                  <wp:posOffset>718820</wp:posOffset>
                </wp:positionH>
                <wp:positionV relativeFrom="page">
                  <wp:posOffset>3865880</wp:posOffset>
                </wp:positionV>
                <wp:extent cx="1926590" cy="3841750"/>
                <wp:effectExtent l="0" t="0" r="0" b="0"/>
                <wp:wrapSquare wrapText="bothSides"/>
                <wp:docPr id="56" name="Frame7"/>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5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5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73">
                <wp:simplePos x="0" y="0"/>
                <wp:positionH relativeFrom="page">
                  <wp:posOffset>728345</wp:posOffset>
                </wp:positionH>
                <wp:positionV relativeFrom="page">
                  <wp:posOffset>567690</wp:posOffset>
                </wp:positionV>
                <wp:extent cx="6097270" cy="3298190"/>
                <wp:effectExtent l="0" t="0" r="0" b="0"/>
                <wp:wrapSquare wrapText="bothSides"/>
                <wp:docPr id="59" name="Frame8"/>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ind w:end="72" w:hanging="0"/>
        <w:rPr/>
      </w:pPr>
      <w:r>
        <w:rPr>
          <w:spacing w:val="-1"/>
          <w:szCs w:val="22"/>
        </w:rPr>
        <w:t xml:space="preserve">A related bronze mirror, also at the Sackler museum (fig. i4a), provides </w:t>
      </w:r>
      <w:r>
        <w:rPr>
          <w:szCs w:val="22"/>
        </w:rPr>
        <w:t xml:space="preserve">additional documentation. An inscription incised under the silver backing </w:t>
      </w:r>
      <w:r>
        <w:rPr>
          <w:spacing w:val="1"/>
          <w:szCs w:val="22"/>
        </w:rPr>
        <w:t xml:space="preserve">of the mirror bears the date of 693 (fig. 14b).'' The knob at the center assumes a crouching zoomorphic form, from which radiate six circles. </w:t>
      </w:r>
      <w:r>
        <w:rPr>
          <w:spacing w:val="-1"/>
          <w:szCs w:val="22"/>
        </w:rPr>
        <w:t xml:space="preserve">Inside each circle a striding animal reaches out to touch its enclosing vine </w:t>
      </w:r>
      <w:r>
        <w:rPr>
          <w:spacing w:val="-2"/>
          <w:szCs w:val="22"/>
        </w:rPr>
        <w:t xml:space="preserve">scroll with its paws.The outer circle of the mirror is decorated with eight </w:t>
      </w:r>
      <w:r>
        <w:rPr>
          <w:spacing w:val="-1"/>
          <w:szCs w:val="22"/>
        </w:rPr>
        <w:t>brackets, each depicting either a branch of a flower or a bird.</w:t>
      </w:r>
    </w:p>
    <w:p>
      <w:pPr>
        <w:pStyle w:val="Normal"/>
        <w:ind w:end="144" w:hanging="0"/>
        <w:rPr>
          <w:spacing w:val="-1"/>
          <w:szCs w:val="22"/>
        </w:rPr>
      </w:pPr>
      <w:r>
        <w:rPr>
          <w:spacing w:val="-1"/>
          <w:szCs w:val="22"/>
        </w:rPr>
      </w:r>
    </w:p>
    <w:p>
      <w:pPr>
        <w:pStyle w:val="Normal"/>
        <w:ind w:end="144" w:hanging="0"/>
        <w:rPr/>
      </w:pPr>
      <w:r>
        <w:rPr>
          <w:spacing w:val="-4"/>
          <w:szCs w:val="22"/>
        </w:rPr>
        <w:t xml:space="preserve">The dragon mirror. Closely </w:t>
      </w:r>
      <w:r>
        <w:rPr>
          <w:spacing w:val="-1"/>
          <w:szCs w:val="22"/>
        </w:rPr>
        <w:t xml:space="preserve">identified with Chinese culture and commonly employed as a decorative </w:t>
      </w:r>
      <w:r>
        <w:rPr>
          <w:spacing w:val="4"/>
          <w:szCs w:val="22"/>
        </w:rPr>
        <w:t xml:space="preserve">motif in every artistic medium since the Shang dynasty </w:t>
      </w:r>
      <w:r>
        <w:rPr>
          <w:spacing w:val="4"/>
          <w:szCs w:val="18"/>
        </w:rPr>
        <w:t>(ca. 1600</w:t>
      </w:r>
      <w:r>
        <w:rPr>
          <w:spacing w:val="4"/>
          <w:szCs w:val="6"/>
        </w:rPr>
        <w:t>—</w:t>
      </w:r>
      <w:r>
        <w:rPr>
          <w:spacing w:val="4"/>
          <w:szCs w:val="18"/>
        </w:rPr>
        <w:t>1100 BCE</w:t>
      </w:r>
      <w:r>
        <w:rPr>
          <w:spacing w:val="1"/>
          <w:szCs w:val="18"/>
        </w:rPr>
        <w:t>)</w:t>
      </w:r>
      <w:r>
        <w:rPr>
          <w:i/>
          <w:iCs/>
          <w:spacing w:val="1"/>
          <w:szCs w:val="18"/>
        </w:rPr>
        <w:t xml:space="preserve">, </w:t>
      </w:r>
      <w:r>
        <w:rPr>
          <w:spacing w:val="1"/>
          <w:szCs w:val="22"/>
        </w:rPr>
        <w:t xml:space="preserve">dragon mirrors became popular in the eighth century. One dragon mirror presents a full moon in the shape of a dragon. The dragon's head and neck twist up to the </w:t>
      </w:r>
      <w:r>
        <w:rPr>
          <w:szCs w:val="22"/>
        </w:rPr>
        <w:t xml:space="preserve">right, legs up in the air and wide-open mouth touching the knob of the mirror. Small puffs of cloud emerge from the feet and float into the sky. The curvilinear movement of the composition and powerful modeling of </w:t>
      </w:r>
      <w:r>
        <w:rPr>
          <w:spacing w:val="1"/>
          <w:szCs w:val="22"/>
        </w:rPr>
        <w:t xml:space="preserve">the dragon in this type of mirror demonstrate well the compelling forces </w:t>
      </w:r>
      <w:r>
        <w:rPr>
          <w:spacing w:val="-2"/>
          <w:szCs w:val="22"/>
        </w:rPr>
        <w:t>of the universe.</w:t>
      </w:r>
    </w:p>
    <w:p>
      <w:pPr>
        <w:pStyle w:val="Normal"/>
        <w:spacing w:lineRule="auto" w:line="268" w:before="468" w:after="0"/>
        <w:rPr>
          <w:i/>
          <w:i/>
          <w:iCs/>
          <w:spacing w:val="-12"/>
          <w:szCs w:val="18"/>
        </w:rPr>
      </w:pPr>
      <w:r>
        <w:rPr>
          <w:i/>
          <w:iCs/>
          <w:spacing w:val="-12"/>
          <w:szCs w:val="18"/>
        </w:rPr>
        <w:t>Landscape and Human Figures</w:t>
      </w:r>
    </w:p>
    <w:p>
      <w:pPr>
        <w:pStyle w:val="Normal"/>
        <w:rPr/>
      </w:pPr>
      <w:r>
        <w:rPr>
          <w:spacing w:val="-2"/>
          <w:szCs w:val="22"/>
        </w:rPr>
        <w:t xml:space="preserve">Human figures appear in Tang mirrors first as part of hunting scenes, a </w:t>
      </w:r>
      <w:r>
        <w:rPr>
          <w:szCs w:val="22"/>
        </w:rPr>
        <w:t xml:space="preserve">motif popular in the mural painting of the imperial tombs dating from </w:t>
      </w:r>
      <w:r>
        <w:rPr>
          <w:spacing w:val="-1"/>
          <w:szCs w:val="22"/>
        </w:rPr>
        <w:t xml:space="preserve">the late seventh to the beginning of the eighth century. The theme of hunting for pleasure took another ancient and metaphysical form as the </w:t>
      </w:r>
      <w:r>
        <w:rPr>
          <w:spacing w:val="1"/>
          <w:szCs w:val="22"/>
        </w:rPr>
        <w:t>s</w:t>
      </w:r>
      <w:r>
        <w:rPr>
          <w:spacing w:val="1"/>
          <w:szCs w:val="22"/>
        </w:rPr>
        <w:t xml:space="preserve">earch for immortality; as early as the Warring States period (481-221 Bc), </w:t>
      </w:r>
      <w:r>
        <w:rPr>
          <w:spacing w:val="-3"/>
          <w:szCs w:val="22"/>
        </w:rPr>
        <w:t xml:space="preserve">in many tombs the soul of the deceased riding on a dragon on the way to </w:t>
      </w:r>
      <w:r>
        <w:rPr>
          <w:spacing w:val="1"/>
          <w:szCs w:val="22"/>
        </w:rPr>
        <w:t xml:space="preserve">immortality was depicted." Two splendid examples are in the Sumitomo </w:t>
      </w:r>
      <w:r>
        <w:rPr>
          <w:spacing w:val="5"/>
          <w:szCs w:val="22"/>
        </w:rPr>
        <w:t xml:space="preserve">and the Carter collections (figs. 15, 16).The simplified rocks with </w:t>
      </w:r>
      <w:r>
        <w:rPr>
          <w:spacing w:val="-2"/>
          <w:szCs w:val="22"/>
        </w:rPr>
        <w:t xml:space="preserve">vegetation on the Carter mirror indicate the land of the immortals; on the </w:t>
      </w:r>
      <w:r>
        <w:rPr>
          <w:szCs w:val="22"/>
        </w:rPr>
        <w:t>Tokyo mirror, a cloud leads each dragon or phoenix to the ideal world.</w:t>
      </w:r>
      <w:r>
        <mc:AlternateContent>
          <mc:Choice Requires="wps">
            <w:drawing>
              <wp:anchor behindDoc="0" distT="0" distB="0" distL="0" distR="0" simplePos="0" locked="0" layoutInCell="1" allowOverlap="1" relativeHeight="68">
                <wp:simplePos x="0" y="0"/>
                <wp:positionH relativeFrom="page">
                  <wp:posOffset>718820</wp:posOffset>
                </wp:positionH>
                <wp:positionV relativeFrom="page">
                  <wp:posOffset>580390</wp:posOffset>
                </wp:positionV>
                <wp:extent cx="6121400" cy="3324860"/>
                <wp:effectExtent l="0" t="0" r="0" b="0"/>
                <wp:wrapSquare wrapText="bothSides"/>
                <wp:docPr id="62" name="Frame9"/>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70">
                <wp:simplePos x="0" y="0"/>
                <wp:positionH relativeFrom="page">
                  <wp:posOffset>724535</wp:posOffset>
                </wp:positionH>
                <wp:positionV relativeFrom="page">
                  <wp:posOffset>3905250</wp:posOffset>
                </wp:positionV>
                <wp:extent cx="6115685" cy="3298190"/>
                <wp:effectExtent l="0" t="0" r="0" b="0"/>
                <wp:wrapSquare wrapText="bothSides"/>
                <wp:docPr id="65" name="Frame10"/>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szCs w:val="22"/>
        </w:rPr>
      </w:pPr>
      <w:r>
        <w:rPr>
          <w:szCs w:val="22"/>
        </w:rPr>
        <w:t>The most elaborate depiction of the Taoist realm of the immortals is the large silver-backed mirror in the Shoso-in (fig. 2). Encircling</w:t>
      </w:r>
    </w:p>
    <w:p>
      <w:pPr>
        <w:pStyle w:val="Normal"/>
        <w:spacing w:lineRule="auto" w:line="288"/>
        <w:ind w:end="72" w:hanging="0"/>
        <w:rPr/>
      </w:pPr>
      <w:r>
        <w:rPr>
          <w:szCs w:val="22"/>
        </w:rPr>
        <w:t xml:space="preserve">the outer frame of the mirror, full-fledged geese, ducks, peacocks, and </w:t>
      </w:r>
      <w:r>
        <w:rPr>
          <w:spacing w:val="2"/>
          <w:szCs w:val="22"/>
        </w:rPr>
        <w:t xml:space="preserve">phoenixes perch on large flower heads attached to long baroque scrolls. </w:t>
      </w:r>
      <w:r>
        <w:rPr>
          <w:spacing w:val="-1"/>
          <w:szCs w:val="22"/>
        </w:rPr>
        <w:t xml:space="preserve">The landscape depicting an auspicious land of happiness in the large inner circle is a new motif of Tang mirrors. Like pivots of the four quarters, </w:t>
      </w:r>
      <w:r>
        <w:rPr>
          <w:spacing w:val="-11"/>
          <w:szCs w:val="19"/>
        </w:rPr>
        <w:t xml:space="preserve">mountains rise above the ocean in the center. In the intermediate spaces </w:t>
      </w:r>
      <w:r>
        <w:rPr>
          <w:spacing w:val="-8"/>
          <w:szCs w:val="19"/>
        </w:rPr>
        <w:t xml:space="preserve">appears either a flying dragon or a gentleman playing music accompanied by a dancing crane. This delightful and detailed composition must have </w:t>
      </w:r>
      <w:r>
        <w:rPr>
          <w:spacing w:val="-10"/>
          <w:szCs w:val="19"/>
        </w:rPr>
        <w:t xml:space="preserve">derived from the emergence of the mature landscape painting style in the </w:t>
      </w:r>
      <w:r>
        <w:rPr>
          <w:spacing w:val="-8"/>
          <w:szCs w:val="19"/>
        </w:rPr>
        <w:t>eighth century.</w:t>
      </w:r>
    </w:p>
    <w:p>
      <w:pPr>
        <w:pStyle w:val="Normal"/>
        <w:spacing w:lineRule="auto" w:line="288"/>
        <w:ind w:end="288" w:firstLine="504"/>
        <w:rPr/>
      </w:pPr>
      <w:r>
        <w:rPr>
          <w:spacing w:val="-8"/>
          <w:szCs w:val="19"/>
        </w:rPr>
        <w:t xml:space="preserve">By the mid eighth century, the human figure appears in the </w:t>
      </w:r>
      <w:r>
        <w:rPr>
          <w:spacing w:val="-6"/>
          <w:szCs w:val="19"/>
        </w:rPr>
        <w:t xml:space="preserve">landscape, relaxing in a confined corner of a private garden. A lobed </w:t>
      </w:r>
      <w:r>
        <w:rPr>
          <w:spacing w:val="-8"/>
          <w:szCs w:val="19"/>
        </w:rPr>
        <w:t xml:space="preserve">mirror with a tortoise knob, musician, and phoenix (see p. 56, fig. 12) is </w:t>
      </w:r>
      <w:r>
        <w:rPr>
          <w:spacing w:val="-7"/>
          <w:szCs w:val="19"/>
        </w:rPr>
        <w:t xml:space="preserve">a good example. In front of the bamboo grove, a musician or immortal </w:t>
      </w:r>
      <w:r>
        <w:rPr>
          <w:spacing w:val="-10"/>
          <w:szCs w:val="19"/>
        </w:rPr>
        <w:t xml:space="preserve">sits down to play for the dancing phoenix. In between, a lotus pond is </w:t>
      </w:r>
      <w:r>
        <w:rPr>
          <w:spacing w:val="-7"/>
          <w:szCs w:val="19"/>
        </w:rPr>
        <w:t>decorated with rocks. A mirror with a comparable motif was excavated</w:t>
      </w:r>
    </w:p>
    <w:p>
      <w:pPr>
        <w:pStyle w:val="Normal"/>
        <w:spacing w:lineRule="auto" w:line="290"/>
        <w:rPr/>
      </w:pPr>
      <w:r>
        <w:rPr>
          <w:spacing w:val="-6"/>
          <w:szCs w:val="19"/>
        </w:rPr>
        <w:t>from a tomb in Luoyang dating to 784:</w:t>
      </w:r>
      <w:r>
        <w:rPr>
          <w:spacing w:val="-6"/>
          <w:w w:val="95"/>
          <w:szCs w:val="19"/>
          <w:vertAlign w:val="superscript"/>
        </w:rPr>
        <w:t>4</w:t>
      </w:r>
      <w:r>
        <w:rPr>
          <w:spacing w:val="-6"/>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spacing w:val="-10"/>
          <w:szCs w:val="19"/>
        </w:rPr>
        <w:t xml:space="preserve">attendant, a few birds, rocks, and wine vessels. The soft and voluminous </w:t>
      </w:r>
      <w:r>
        <w:rPr>
          <w:spacing w:val="-6"/>
          <w:szCs w:val="19"/>
        </w:rPr>
        <w:t xml:space="preserve">rendering of the motif characterizes that of the Tianbao era (742-755) or </w:t>
      </w:r>
      <w:r>
        <w:rPr>
          <w:spacing w:val="-10"/>
          <w:szCs w:val="19"/>
        </w:rPr>
        <w:t>even later.</w:t>
      </w:r>
    </w:p>
    <w:p>
      <w:pPr>
        <w:pStyle w:val="Normal"/>
        <w:spacing w:lineRule="auto" w:line="290" w:before="252" w:after="0"/>
        <w:ind w:end="288" w:hanging="0"/>
        <w:rPr/>
      </w:pPr>
      <w:r>
        <w:rPr>
          <w:spacing w:val="-6"/>
          <w:szCs w:val="19"/>
        </w:rPr>
        <w:t xml:space="preserve">The elaborate ornament of meticulously depicted flowers and animals </w:t>
      </w:r>
      <w:r>
        <w:rPr>
          <w:spacing w:val="-7"/>
          <w:szCs w:val="19"/>
        </w:rPr>
        <w:t xml:space="preserve">in these mirrors celebrates the good wishes and prosperity enjoyed by </w:t>
      </w:r>
      <w:r>
        <w:rPr>
          <w:spacing w:val="-13"/>
          <w:szCs w:val="19"/>
        </w:rPr>
        <w:t xml:space="preserve">the Tang people. Concern with naturalism and a search for ideal beauty </w:t>
      </w:r>
      <w:r>
        <w:rPr>
          <w:spacing w:val="-5"/>
          <w:szCs w:val="19"/>
        </w:rPr>
        <w:t xml:space="preserve">compete with each other within the design. The cosmopolitan culture </w:t>
      </w:r>
      <w:r>
        <w:rPr>
          <w:spacing w:val="-8"/>
          <w:szCs w:val="19"/>
        </w:rPr>
        <w:t>in the capital opened up a new range of imagination and expression for</w:t>
      </w:r>
    </w:p>
    <w:p>
      <w:pPr>
        <w:pStyle w:val="Normal"/>
        <w:ind w:end="288" w:hanging="0"/>
        <w:jc w:val="both"/>
        <w:rPr>
          <w:spacing w:val="-1"/>
          <w:szCs w:val="22"/>
        </w:rPr>
      </w:pPr>
      <w:r>
        <w:rPr>
          <w:spacing w:val="-13"/>
          <w:szCs w:val="19"/>
        </w:rPr>
        <w:t xml:space="preserve">the artists and artisans. The mature style of Tang art captures the enduring </w:t>
      </w:r>
      <w:r>
        <w:rPr>
          <w:spacing w:val="-6"/>
          <w:szCs w:val="19"/>
        </w:rPr>
        <w:t>energy of the universe in microcosm.</w:t>
      </w:r>
    </w:p>
    <w:p>
      <w:pPr>
        <w:pStyle w:val="Normal"/>
        <w:spacing w:before="72" w:after="0"/>
        <w:ind w:firstLine="432"/>
        <w:jc w:val="both"/>
        <w:rPr>
          <w:spacing w:val="-1"/>
          <w:szCs w:val="22"/>
        </w:rPr>
      </w:pPr>
      <w:r>
        <w:rPr>
          <w:spacing w:val="-1"/>
          <w:szCs w:val="22"/>
        </w:rPr>
      </w:r>
    </w:p>
    <w:p>
      <w:pPr>
        <w:pStyle w:val="Normal"/>
        <w:spacing w:before="72" w:after="0"/>
        <w:ind w:end="144" w:firstLine="432"/>
        <w:rPr>
          <w:spacing w:val="-1"/>
          <w:sz w:val="22"/>
          <w:szCs w:val="22"/>
        </w:rPr>
      </w:pPr>
      <w:r>
        <w:rPr>
          <w:spacing w:val="-1"/>
          <w:sz w:val="22"/>
          <w:szCs w:val="22"/>
        </w:rPr>
      </w:r>
    </w:p>
    <w:p>
      <w:pPr>
        <w:pStyle w:val="Normal"/>
        <w:rPr/>
      </w:pPr>
      <w:r>
        <w:rPr/>
        <w:drawing>
          <wp:inline distT="0" distB="0" distL="0" distR="0">
            <wp:extent cx="4163695" cy="4273550"/>
            <wp:effectExtent l="0" t="0" r="0" b="0"/>
            <wp:docPr id="6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 descr="" title=""/>
                    <pic:cNvPicPr>
                      <a:picLocks noChangeAspect="1" noChangeArrowheads="1"/>
                    </pic:cNvPicPr>
                  </pic:nvPicPr>
                  <pic:blipFill>
                    <a:blip r:embed="rId47"/>
                    <a:srcRect l="-8" t="-8" r="-8" b="-8"/>
                    <a:stretch>
                      <a:fillRect/>
                    </a:stretch>
                  </pic:blipFill>
                  <pic:spPr bwMode="auto">
                    <a:xfrm>
                      <a:off x="0" y="0"/>
                      <a:ext cx="4163695" cy="4273550"/>
                    </a:xfrm>
                    <a:prstGeom prst="rect">
                      <a:avLst/>
                    </a:prstGeom>
                  </pic:spPr>
                </pic:pic>
              </a:graphicData>
            </a:graphic>
          </wp:inline>
        </w:drawing>
      </w:r>
      <w:r>
        <w:rPr>
          <w:spacing w:val="-6"/>
          <w:sz w:val="19"/>
          <w:szCs w:val="19"/>
        </w:rPr>
        <w:t xml:space="preserve"> </w:t>
      </w:r>
    </w:p>
    <w:p>
      <w:pPr>
        <w:pStyle w:val="Normal"/>
        <w:rPr/>
      </w:pPr>
      <w:r>
        <w:rPr>
          <w:spacing w:val="-6"/>
          <w:sz w:val="19"/>
          <w:szCs w:val="19"/>
        </w:rPr>
        <w:t xml:space="preserve">Fig. 6. Mirror, mother-of-pearl inlay, </w:t>
      </w:r>
      <w:r>
        <w:rPr>
          <w:spacing w:val="-8"/>
          <w:sz w:val="19"/>
          <w:szCs w:val="19"/>
        </w:rPr>
        <w:t xml:space="preserve">Diam. 27.2 cm. Shoso-in, Nara. After </w:t>
      </w:r>
      <w:r>
        <w:rPr>
          <w:i/>
          <w:iCs/>
          <w:spacing w:val="-2"/>
          <w:sz w:val="17"/>
          <w:szCs w:val="17"/>
        </w:rPr>
        <w:t xml:space="preserve">Nihon bijutsu zenshu, 5: </w:t>
      </w:r>
      <w:r>
        <w:rPr>
          <w:spacing w:val="-2"/>
          <w:sz w:val="19"/>
          <w:szCs w:val="19"/>
        </w:rPr>
        <w:t>49.</w:t>
      </w:r>
    </w:p>
    <w:p>
      <w:pPr>
        <w:pStyle w:val="Normal"/>
        <w:rPr>
          <w:spacing w:val="-2"/>
          <w:sz w:val="19"/>
          <w:szCs w:val="19"/>
        </w:rPr>
      </w:pPr>
      <w:r>
        <w:rPr>
          <w:spacing w:val="-2"/>
          <w:sz w:val="19"/>
          <w:szCs w:val="19"/>
        </w:rPr>
      </w:r>
    </w:p>
    <w:p>
      <w:pPr>
        <w:pStyle w:val="Normal"/>
        <w:numPr>
          <w:ilvl w:val="0"/>
          <w:numId w:val="3"/>
        </w:numPr>
        <w:tabs>
          <w:tab w:val="clear" w:pos="720"/>
          <w:tab w:val="left" w:pos="288" w:leader="none"/>
        </w:tabs>
        <w:spacing w:lineRule="auto" w:line="290" w:before="144" w:after="0"/>
        <w:ind w:start="0" w:end="144" w:firstLine="72"/>
        <w:rPr/>
      </w:pPr>
      <w:r>
        <w:rPr>
          <w:spacing w:val="-6"/>
          <w:sz w:val="28"/>
          <w:szCs w:val="16"/>
        </w:rPr>
        <w:t xml:space="preserve">9Emperor </w:t>
      </w:r>
      <w:r>
        <w:rPr>
          <w:spacing w:val="-6"/>
          <w:sz w:val="28"/>
          <w:szCs w:val="15"/>
        </w:rPr>
        <w:t xml:space="preserve">Taizong, for instance, ordered </w:t>
      </w:r>
      <w:r>
        <w:rPr>
          <w:spacing w:val="-3"/>
          <w:sz w:val="28"/>
          <w:szCs w:val="15"/>
        </w:rPr>
        <w:t>just such a careful official record in</w:t>
      </w:r>
    </w:p>
    <w:p>
      <w:pPr>
        <w:pStyle w:val="Normal"/>
        <w:spacing w:lineRule="auto" w:line="292"/>
        <w:rPr/>
      </w:pPr>
      <w:r>
        <w:rPr>
          <w:sz w:val="28"/>
          <w:szCs w:val="15"/>
        </w:rPr>
        <w:t xml:space="preserve">647. See </w:t>
      </w:r>
      <w:r>
        <w:rPr>
          <w:i/>
          <w:iCs/>
          <w:sz w:val="28"/>
          <w:szCs w:val="17"/>
        </w:rPr>
        <w:t xml:space="preserve">Tang hui yao </w:t>
      </w:r>
      <w:r>
        <w:rPr>
          <w:sz w:val="28"/>
          <w:szCs w:val="15"/>
        </w:rPr>
        <w:t xml:space="preserve">[Tang dynasty </w:t>
      </w:r>
      <w:r>
        <w:rPr>
          <w:spacing w:val="-4"/>
          <w:sz w:val="28"/>
          <w:szCs w:val="15"/>
        </w:rPr>
        <w:t xml:space="preserve">encyclopedia] (Taipei: Shi jie shu ju, 1960), </w:t>
      </w:r>
      <w:r>
        <w:rPr>
          <w:spacing w:val="-10"/>
          <w:sz w:val="28"/>
          <w:szCs w:val="15"/>
        </w:rPr>
        <w:t>100: 1796.</w:t>
      </w:r>
    </w:p>
    <w:p>
      <w:pPr>
        <w:pStyle w:val="Normal"/>
        <w:numPr>
          <w:ilvl w:val="0"/>
          <w:numId w:val="4"/>
        </w:numPr>
        <w:tabs>
          <w:tab w:val="clear" w:pos="720"/>
          <w:tab w:val="left" w:pos="360" w:leader="none"/>
        </w:tabs>
        <w:spacing w:lineRule="auto" w:line="292"/>
        <w:ind w:start="0" w:end="72" w:firstLine="72"/>
        <w:rPr/>
      </w:pPr>
      <w:r>
        <w:rPr>
          <w:spacing w:val="3"/>
          <w:sz w:val="28"/>
          <w:szCs w:val="15"/>
        </w:rPr>
        <w:t xml:space="preserve">10At least fifteen animal-and-grape </w:t>
      </w:r>
      <w:r>
        <w:rPr>
          <w:spacing w:val="-1"/>
          <w:sz w:val="28"/>
          <w:szCs w:val="15"/>
        </w:rPr>
        <w:t xml:space="preserve">mirrors have been discovered in dated </w:t>
      </w:r>
      <w:r>
        <w:rPr>
          <w:spacing w:val="-4"/>
          <w:sz w:val="28"/>
          <w:szCs w:val="15"/>
        </w:rPr>
        <w:t xml:space="preserve">tombs; the earliest one is dated 664; see </w:t>
      </w:r>
      <w:r>
        <w:rPr>
          <w:i/>
          <w:iCs/>
          <w:spacing w:val="-5"/>
          <w:sz w:val="28"/>
          <w:szCs w:val="17"/>
        </w:rPr>
        <w:t xml:space="preserve">Wenwu, </w:t>
      </w:r>
      <w:r>
        <w:rPr>
          <w:spacing w:val="-5"/>
          <w:sz w:val="28"/>
          <w:szCs w:val="15"/>
        </w:rPr>
        <w:t>no. 7 (</w:t>
      </w:r>
      <w:r>
        <w:rPr>
          <w:spacing w:val="-5"/>
          <w:sz w:val="28"/>
          <w:szCs w:val="15"/>
          <w:vertAlign w:val="superscript"/>
        </w:rPr>
        <w:t>1</w:t>
      </w:r>
      <w:r>
        <w:rPr>
          <w:spacing w:val="-5"/>
          <w:sz w:val="28"/>
          <w:szCs w:val="15"/>
        </w:rPr>
        <w:t>972), 33</w:t>
      </w:r>
      <w:r>
        <w:rPr>
          <w:spacing w:val="-5"/>
          <w:sz w:val="28"/>
          <w:szCs w:val="15"/>
          <w:vertAlign w:val="superscript"/>
        </w:rPr>
        <w:t>-</w:t>
      </w:r>
      <w:r>
        <w:rPr>
          <w:spacing w:val="-5"/>
          <w:sz w:val="28"/>
          <w:szCs w:val="15"/>
        </w:rPr>
        <w:t>4</w:t>
      </w:r>
      <w:r>
        <w:rPr>
          <w:spacing w:val="-5"/>
          <w:sz w:val="28"/>
          <w:szCs w:val="15"/>
          <w:vertAlign w:val="superscript"/>
        </w:rPr>
        <w:t>1</w:t>
      </w:r>
      <w:r>
        <w:rPr>
          <w:spacing w:val="-5"/>
          <w:sz w:val="28"/>
          <w:szCs w:val="15"/>
        </w:rPr>
        <w:t xml:space="preserve">. For the list of </w:t>
      </w:r>
      <w:r>
        <w:rPr>
          <w:spacing w:val="-3"/>
          <w:sz w:val="28"/>
          <w:szCs w:val="15"/>
        </w:rPr>
        <w:t xml:space="preserve">dated tombs with animal-and-grapevine mirrors, see Yen, "Tangdai tongjing," </w:t>
      </w:r>
      <w:r>
        <w:rPr>
          <w:spacing w:val="-3"/>
          <w:sz w:val="28"/>
          <w:szCs w:val="16"/>
        </w:rPr>
        <w:t>335.</w:t>
      </w:r>
    </w:p>
    <w:p>
      <w:pPr>
        <w:pStyle w:val="Normal"/>
        <w:numPr>
          <w:ilvl w:val="0"/>
          <w:numId w:val="4"/>
        </w:numPr>
        <w:tabs>
          <w:tab w:val="clear" w:pos="720"/>
          <w:tab w:val="left" w:pos="360" w:leader="none"/>
        </w:tabs>
        <w:spacing w:lineRule="auto" w:line="290" w:before="180" w:after="0"/>
        <w:ind w:start="0" w:end="216" w:firstLine="72"/>
        <w:rPr/>
      </w:pPr>
      <w:r>
        <w:rPr>
          <w:spacing w:val="5"/>
          <w:sz w:val="28"/>
          <w:szCs w:val="15"/>
        </w:rPr>
        <w:t xml:space="preserve">11Schuyler Cammann, "The Lion </w:t>
      </w:r>
      <w:r>
        <w:rPr>
          <w:spacing w:val="-5"/>
          <w:sz w:val="28"/>
          <w:szCs w:val="15"/>
        </w:rPr>
        <w:t xml:space="preserve">and Grape Patterns on Chinese Bronze </w:t>
      </w:r>
      <w:r>
        <w:rPr>
          <w:spacing w:val="1"/>
          <w:sz w:val="28"/>
          <w:szCs w:val="15"/>
        </w:rPr>
        <w:t xml:space="preserve">Mirrors," </w:t>
      </w:r>
      <w:r>
        <w:rPr>
          <w:i/>
          <w:iCs/>
          <w:spacing w:val="1"/>
          <w:sz w:val="28"/>
          <w:szCs w:val="17"/>
        </w:rPr>
        <w:t xml:space="preserve">Artibus Asiae </w:t>
      </w:r>
      <w:r>
        <w:rPr>
          <w:spacing w:val="1"/>
          <w:sz w:val="28"/>
          <w:szCs w:val="16"/>
        </w:rPr>
        <w:t>16 (1953), 265</w:t>
      </w:r>
      <w:r>
        <w:rPr>
          <w:spacing w:val="1"/>
          <w:sz w:val="28"/>
          <w:szCs w:val="6"/>
        </w:rPr>
        <w:t>-</w:t>
      </w:r>
      <w:r>
        <w:rPr>
          <w:spacing w:val="1"/>
          <w:sz w:val="28"/>
          <w:szCs w:val="16"/>
        </w:rPr>
        <w:t>91.</w:t>
      </w:r>
    </w:p>
    <w:p>
      <w:pPr>
        <w:pStyle w:val="Normal"/>
        <w:spacing w:lineRule="auto" w:line="283" w:before="216" w:after="0"/>
        <w:ind w:end="216" w:hanging="0"/>
        <w:rPr/>
      </w:pPr>
      <w:r>
        <w:rPr>
          <w:spacing w:val="7"/>
          <w:sz w:val="28"/>
          <w:szCs w:val="16"/>
        </w:rPr>
        <w:t xml:space="preserve">12.The inscription was </w:t>
      </w:r>
      <w:r>
        <w:rPr>
          <w:spacing w:val="7"/>
          <w:sz w:val="28"/>
          <w:szCs w:val="15"/>
        </w:rPr>
        <w:t xml:space="preserve">first published </w:t>
      </w:r>
      <w:r>
        <w:rPr>
          <w:spacing w:val="-2"/>
          <w:sz w:val="28"/>
          <w:szCs w:val="15"/>
        </w:rPr>
        <w:t xml:space="preserve">by Umehara Sueharu, </w:t>
      </w:r>
      <w:r>
        <w:rPr>
          <w:i/>
          <w:iCs/>
          <w:spacing w:val="-2"/>
          <w:sz w:val="28"/>
          <w:szCs w:val="17"/>
        </w:rPr>
        <w:t xml:space="preserve">Toky5Taikan </w:t>
      </w:r>
      <w:r>
        <w:rPr>
          <w:sz w:val="28"/>
          <w:szCs w:val="15"/>
        </w:rPr>
        <w:t xml:space="preserve">[Conspectus ofTang mirrors] (Kyoto: </w:t>
      </w:r>
      <w:r>
        <w:rPr>
          <w:spacing w:val="-2"/>
          <w:sz w:val="28"/>
          <w:szCs w:val="15"/>
        </w:rPr>
        <w:t xml:space="preserve">Dohosha, 1984, reprint of </w:t>
      </w:r>
      <w:r>
        <w:rPr>
          <w:spacing w:val="-2"/>
          <w:sz w:val="28"/>
          <w:szCs w:val="16"/>
        </w:rPr>
        <w:t xml:space="preserve">1945 </w:t>
      </w:r>
      <w:r>
        <w:rPr>
          <w:spacing w:val="-2"/>
          <w:sz w:val="28"/>
          <w:szCs w:val="15"/>
        </w:rPr>
        <w:t xml:space="preserve">edition), </w:t>
      </w:r>
      <w:r>
        <w:rPr>
          <w:spacing w:val="4"/>
          <w:sz w:val="28"/>
          <w:szCs w:val="15"/>
        </w:rPr>
        <w:t xml:space="preserve">pl. 99b and pp. </w:t>
      </w:r>
      <w:r>
        <w:rPr>
          <w:spacing w:val="4"/>
          <w:sz w:val="28"/>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spacing w:val="-5"/>
          <w:sz w:val="28"/>
          <w:szCs w:val="15"/>
        </w:rPr>
        <w:t xml:space="preserve">Sofukawa Hiroshi, "Kandai gazoseki </w:t>
      </w:r>
      <w:r>
        <w:rPr>
          <w:spacing w:val="-1"/>
          <w:sz w:val="28"/>
          <w:szCs w:val="15"/>
        </w:rPr>
        <w:t xml:space="preserve">niokeru shosenzu no keifu" [The lineage of ascending immortals in the pictorial </w:t>
      </w:r>
      <w:r>
        <w:rPr>
          <w:sz w:val="28"/>
          <w:szCs w:val="15"/>
        </w:rPr>
        <w:t xml:space="preserve">stone of the Han dynasty], </w:t>
      </w:r>
      <w:r>
        <w:rPr>
          <w:i/>
          <w:iCs/>
          <w:sz w:val="28"/>
          <w:szCs w:val="17"/>
        </w:rPr>
        <w:t xml:space="preserve">Toho Gakuho </w:t>
      </w:r>
      <w:r>
        <w:rPr>
          <w:i/>
          <w:iCs/>
          <w:spacing w:val="12"/>
          <w:sz w:val="28"/>
          <w:szCs w:val="17"/>
        </w:rPr>
        <w:t xml:space="preserve">65 </w:t>
      </w:r>
      <w:r>
        <w:rPr>
          <w:spacing w:val="12"/>
          <w:sz w:val="28"/>
          <w:szCs w:val="14"/>
        </w:rPr>
        <w:t>(1993), 23-221.</w:t>
      </w:r>
    </w:p>
    <w:p>
      <w:pPr>
        <w:pStyle w:val="Normal"/>
        <w:rPr>
          <w:sz w:val="28"/>
        </w:rPr>
      </w:pPr>
      <w:r>
        <w:rPr>
          <w:i/>
          <w:iCs/>
          <w:spacing w:val="-4"/>
          <w:sz w:val="28"/>
          <w:szCs w:val="17"/>
        </w:rPr>
        <w:t xml:space="preserve">Wenwu, </w:t>
      </w:r>
      <w:r>
        <w:rPr>
          <w:spacing w:val="-4"/>
          <w:sz w:val="28"/>
          <w:szCs w:val="15"/>
        </w:rPr>
        <w:t>no. 5 (1956), 41</w:t>
      </w:r>
    </w:p>
    <w:p>
      <w:pPr>
        <w:pStyle w:val="Normal"/>
        <w:rPr>
          <w:sz w:val="28"/>
        </w:rPr>
      </w:pPr>
      <w:r>
        <w:rPr>
          <w:sz w:val="28"/>
        </w:rPr>
      </w:r>
    </w:p>
    <w:sectPr>
      <w:footerReference w:type="default" r:id="rId48"/>
      <w:footnotePr>
        <w:numFmt w:val="decimal"/>
      </w:footnotePr>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end="360" w:hanging="0"/>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69" name="Frame1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84.7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
              <wp:simplePos x="0" y="0"/>
              <wp:positionH relativeFrom="page">
                <wp:posOffset>539750</wp:posOffset>
              </wp:positionH>
              <wp:positionV relativeFrom="paragraph">
                <wp:posOffset>635</wp:posOffset>
              </wp:positionV>
              <wp:extent cx="5854065" cy="150495"/>
              <wp:effectExtent l="0" t="0" r="0" b="0"/>
              <wp:wrapSquare wrapText="bothSides"/>
              <wp:docPr id="70" name="Frame12"/>
              <a:graphic xmlns:a="http://schemas.openxmlformats.org/drawingml/2006/main">
                <a:graphicData uri="http://schemas.microsoft.com/office/word/2010/wordprocessingShape">
                  <wps:wsp>
                    <wps:cNvSpPr txBox="1"/>
                    <wps:spPr>
                      <a:xfrm>
                        <a:off x="0" y="0"/>
                        <a:ext cx="5854065" cy="150495"/>
                      </a:xfrm>
                      <a:prstGeom prst="rect"/>
                      <a:solidFill>
                        <a:srgbClr val="FFFFFF">
                          <a:alpha val="0"/>
                        </a:srgbClr>
                      </a:solidFill>
                    </wps:spPr>
                    <wps:txbx>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60.95pt;height:11.85pt;mso-wrap-distance-left:0pt;mso-wrap-distance-right:0pt;mso-wrap-distance-top:0pt;mso-wrap-distance-bottom:0pt;margin-top:0pt;mso-position-vertical-relative:text;margin-left:42.5pt;mso-position-horizontal-relative:page">
              <v:fill opacity="0f"/>
              <v:textbox inset="0.000694444444444444in,0.000694444444444444in,0.000694444444444444in,0.000694444444444444in">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 xml:space="preserve">(Kirkland, Russell. </w:t>
      </w:r>
      <w:r>
        <w:rPr>
          <w:i/>
          <w:iCs/>
        </w:rPr>
        <w:t>Taoism: The Enduring Tradition.</w:t>
      </w:r>
      <w:r>
        <w:rPr/>
        <w:t xml:space="preserve"> Routledge: New York, 2004. Pgs: 33-34; Fung, Yu-lan (translator). (1933). </w:t>
      </w:r>
      <w:r>
        <w:rPr>
          <w:i/>
          <w:iCs/>
        </w:rPr>
        <w:t>Chuang-tzǔ: a new selected translation with an exposition of the philosophy of Kuo Hsiang</w:t>
      </w:r>
      <w:r>
        <w:rPr/>
        <w:t xml:space="preserve">. Shanghai: The Commercial Press. Reprint: 1964. </w:t>
      </w:r>
      <w:r>
        <w:rPr>
          <w:i/>
          <w:iCs/>
        </w:rPr>
        <w:t>A Taoist Classic: Chuang-Tzu</w:t>
      </w:r>
      <w:r>
        <w:rPr/>
        <w:t xml:space="preserve">. Beijing: Foreign Languages Press.)  </w:t>
      </w:r>
    </w:p>
  </w:footnote>
  <w:footnote w:id="3">
    <w:p>
      <w:pPr>
        <w:pStyle w:val="Footnote"/>
        <w:rPr/>
      </w:pPr>
      <w:r>
        <w:rPr>
          <w:rStyle w:val="FootnoteCharacters"/>
        </w:rPr>
        <w:footnoteRef/>
      </w:r>
      <w:r>
        <w:rPr/>
        <w:t xml:space="preserve"> </w:t>
      </w:r>
      <w:r>
        <w:rPr/>
        <w:t xml:space="preserve">Translation adapted from Burton Watson, </w:t>
      </w:r>
      <w:r>
        <w:rPr>
          <w:i/>
          <w:iCs/>
        </w:rPr>
        <w:t>The Complete Works of Chuang Tzu</w:t>
      </w:r>
      <w:r>
        <w:rPr/>
        <w:t xml:space="preserve"> (New York: Columbia University Press, 1968), p. 142 (chap. 13).</w:t>
      </w:r>
    </w:p>
  </w:footnote>
  <w:footnote w:id="4">
    <w:p>
      <w:pPr>
        <w:pStyle w:val="NormalWeb"/>
        <w:spacing w:before="0" w:after="0"/>
        <w:rPr/>
      </w:pPr>
      <w:r>
        <w:rPr>
          <w:rStyle w:val="FootnoteCharacters"/>
        </w:rPr>
        <w:footnoteRef/>
      </w:r>
      <w:r>
        <w:rPr>
          <w:sz w:val="20"/>
        </w:rPr>
        <w:t xml:space="preserve"> </w:t>
      </w:r>
      <w:r>
        <w:rPr>
          <w:sz w:val="20"/>
        </w:rPr>
        <w:t xml:space="preserve">Translation adapted from John Knoblock, </w:t>
      </w:r>
      <w:r>
        <w:rPr>
          <w:i/>
          <w:iCs/>
          <w:sz w:val="20"/>
        </w:rPr>
        <w:t>Xun Zi: A Translation and Study of the Complete Works</w:t>
      </w:r>
      <w:r>
        <w:rPr>
          <w:sz w:val="20"/>
        </w:rPr>
        <w:t>,</w:t>
      </w:r>
      <w:r>
        <w:rPr/>
        <w:t xml:space="preserve"> </w:t>
      </w:r>
      <w:r>
        <w:rPr>
          <w:sz w:val="20"/>
        </w:rPr>
        <w:t>vol. 3 (Stanford: Stanford University Press, 1994), p. 107 (Xun Zi 21.7b).</w:t>
      </w:r>
    </w:p>
  </w:footnote>
  <w:footnote w:id="5">
    <w:p>
      <w:pPr>
        <w:pStyle w:val="NormalWeb"/>
        <w:spacing w:before="0" w:after="0"/>
        <w:rPr/>
      </w:pPr>
      <w:r>
        <w:rPr>
          <w:rStyle w:val="FootnoteCharacters"/>
        </w:rPr>
        <w:footnoteRef/>
      </w:r>
      <w:r>
        <w:rPr>
          <w:sz w:val="20"/>
        </w:rPr>
        <w:t xml:space="preserve"> </w:t>
      </w:r>
      <w:r>
        <w:rPr>
          <w:sz w:val="20"/>
        </w:rPr>
        <w:t xml:space="preserve">For helpful studies of the mirror metaphor in Chinese thought, see Paul Demieville, "The Mirror of the Mind," trans. Neal Donner, in Peter N. Gregory, ed., </w:t>
      </w:r>
      <w:r>
        <w:rPr>
          <w:i/>
          <w:iCs/>
          <w:sz w:val="20"/>
        </w:rPr>
        <w:t>Sudden and Gradual: Approaches to Enlightenment in Chinese Thought</w:t>
      </w:r>
      <w:r>
        <w:rPr>
          <w:sz w:val="20"/>
        </w:rPr>
        <w:t xml:space="preserve"> (Honolulu: University of Hawai'i Press, 1987), pp. 13–40 (originally published as "Le Miroir Spirituel," Sinologica 1 [2] [1947]: 112–137); Harold H. Oshima, "A Metaphorical Analysis of the Concept of Mind in Chuang-Tzu," in Victor H. Mair, ed., </w:t>
      </w:r>
      <w:r>
        <w:rPr>
          <w:i/>
          <w:iCs/>
          <w:sz w:val="20"/>
        </w:rPr>
        <w:t>Experimental Essays on Chuang-tzu</w:t>
      </w:r>
      <w:r>
        <w:rPr>
          <w:sz w:val="20"/>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sz w:val="20"/>
        </w:rPr>
        <w:t>The Sense of Antirationalism: The Religious Thought of Zhuangzi and Kierkegaard</w:t>
      </w:r>
      <w:r>
        <w:rPr>
          <w:sz w:val="20"/>
        </w:rPr>
        <w:t xml:space="preserve"> (New York: Seven Bridges Press, 2000), pp. 38–39, 56, 71.</w:t>
      </w:r>
    </w:p>
    <w:p>
      <w:pPr>
        <w:pStyle w:val="Footnote"/>
        <w:rPr/>
      </w:pPr>
      <w:r>
        <w:rPr/>
      </w:r>
    </w:p>
  </w:footnote>
  <w:footnote w:id="6">
    <w:p>
      <w:pPr>
        <w:pStyle w:val="Footnote"/>
        <w:rPr/>
      </w:pPr>
      <w:r>
        <w:rPr>
          <w:rStyle w:val="FootnoteCharacters"/>
        </w:rPr>
        <w:footnoteRef/>
      </w:r>
      <w:r>
        <w:rPr/>
        <w:t xml:space="preserve"> </w:t>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footnote>
  <w:footnote w:id="7">
    <w:p>
      <w:pPr>
        <w:pStyle w:val="Footnote"/>
        <w:rPr/>
      </w:pPr>
      <w:r>
        <w:rPr>
          <w:rStyle w:val="FootnoteCharacters"/>
        </w:rPr>
        <w:footnoteRef/>
      </w:r>
      <w:r>
        <w:rPr/>
        <w:t xml:space="preserve"> </w:t>
      </w:r>
      <w:r>
        <w:rPr/>
        <w:t xml:space="preserve">Carr and Ivanhoe, </w:t>
      </w:r>
      <w:r>
        <w:rPr>
          <w:i/>
          <w:iCs/>
        </w:rPr>
        <w:t>The Sense of Antirationalism</w:t>
      </w:r>
      <w:r>
        <w:rPr/>
        <w:t>, p. 38.</w:t>
      </w:r>
    </w:p>
  </w:footnote>
  <w:footnote w:id="8">
    <w:p>
      <w:pPr>
        <w:pStyle w:val="Footnote"/>
        <w:rPr/>
      </w:pPr>
      <w:r>
        <w:rPr>
          <w:rStyle w:val="FootnoteCharacters"/>
        </w:rPr>
        <w:footnoteRef/>
      </w:r>
      <w:r>
        <w:rPr/>
        <w:t xml:space="preserve"> </w:t>
      </w:r>
      <w:r>
        <w:rPr/>
        <w:t>Oshima, "A Metaphorical Analysis of the Concept of Mind in Chuang-Tzu," p. 75. With the exception of terms appearing in titles, for consistency I have converted all Wade-Giles romanizations to pinyin in this essay.</w:t>
      </w:r>
    </w:p>
  </w:footnote>
  <w:footnote w:id="9">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0">
    <w:p>
      <w:pPr>
        <w:pStyle w:val="Footnote"/>
        <w:rPr/>
      </w:pPr>
      <w:r>
        <w:rPr>
          <w:rStyle w:val="FootnoteCharacters"/>
        </w:rPr>
        <w:footnoteRef/>
      </w:r>
      <w:r>
        <w:rPr/>
        <w:t xml:space="preserve"> </w:t>
      </w:r>
      <w:r>
        <w:rPr/>
        <w:t>Ibid., p. 97 (chap. 7).</w:t>
      </w:r>
    </w:p>
  </w:footnote>
  <w:footnote w:id="11">
    <w:p>
      <w:pPr>
        <w:pStyle w:val="Footnote"/>
        <w:rPr/>
      </w:pPr>
      <w:r>
        <w:rPr>
          <w:rStyle w:val="FootnoteCharacters"/>
        </w:rPr>
        <w:footnoteRef/>
      </w:r>
      <w:r>
        <w:rPr/>
        <w:t xml:space="preserve"> </w:t>
      </w:r>
      <w:r>
        <w:rPr/>
        <w:t>Ibid., p. 142 (chap. 13).</w:t>
      </w:r>
    </w:p>
  </w:footnote>
  <w:footnote w:id="12">
    <w:p>
      <w:pPr>
        <w:pStyle w:val="Footnote"/>
        <w:rPr/>
      </w:pPr>
      <w:r>
        <w:rPr>
          <w:rStyle w:val="FootnoteCharacters"/>
        </w:rPr>
        <w:footnoteRef/>
      </w:r>
      <w:r>
        <w:rPr/>
        <w:t xml:space="preserve"> </w:t>
      </w:r>
      <w:r>
        <w:rPr/>
        <w:t>Adapted from ibid., p. 97 (chap. 7).</w:t>
      </w:r>
    </w:p>
  </w:footnote>
  <w:footnote w:id="13">
    <w:p>
      <w:pPr>
        <w:pStyle w:val="Footnote"/>
        <w:rPr/>
      </w:pPr>
      <w:r>
        <w:rPr>
          <w:rStyle w:val="FootnoteCharacters"/>
        </w:rPr>
        <w:footnoteRef/>
      </w:r>
      <w:r>
        <w:rPr/>
        <w:t xml:space="preserve"> </w:t>
      </w:r>
      <w:r>
        <w:rPr/>
        <w:t>Ibid., p. 38 (chap. 2).</w:t>
      </w:r>
    </w:p>
  </w:footnote>
  <w:footnote w:id="14">
    <w:p>
      <w:pPr>
        <w:pStyle w:val="Footnote"/>
        <w:rPr/>
      </w:pPr>
      <w:r>
        <w:rPr>
          <w:rStyle w:val="FootnoteCharacters"/>
        </w:rPr>
        <w:footnoteRef/>
      </w:r>
      <w:r>
        <w:rPr/>
        <w:t xml:space="preserve"> </w:t>
      </w:r>
      <w:r>
        <w:rPr/>
        <w:t>Ibid., p. 40 (chap. 2).</w:t>
      </w:r>
    </w:p>
  </w:footnote>
  <w:footnote w:id="15">
    <w:p>
      <w:pPr>
        <w:pStyle w:val="Footnote"/>
        <w:rPr/>
      </w:pPr>
      <w:r>
        <w:rPr>
          <w:rStyle w:val="FootnoteCharacters"/>
        </w:rPr>
        <w:footnoteRef/>
      </w:r>
      <w:r>
        <w:rPr/>
        <w:t xml:space="preserve"> </w:t>
      </w:r>
      <w:r>
        <w:rPr/>
        <w:t>As Julius Tsai has pointed out, mirrors were thought to "provide better and truer insight into the nature of things, people, and spirits, revealing what was hidden to the naked eye" (Tsai, "The Mirror Metaphor in the Zhuangzi," p. 5).</w:t>
      </w:r>
    </w:p>
  </w:footnote>
  <w:footnote w:id="16">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7">
    <w:p>
      <w:pPr>
        <w:pStyle w:val="Footnote"/>
        <w:rPr/>
      </w:pPr>
      <w:r>
        <w:rPr>
          <w:rStyle w:val="FootnoteCharacters"/>
        </w:rPr>
        <w:footnoteRef/>
      </w:r>
      <w:r>
        <w:rPr/>
        <w:t xml:space="preserve"> </w:t>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footnote>
  <w:footnote w:id="18">
    <w:p>
      <w:pPr>
        <w:pStyle w:val="Footnote"/>
        <w:rPr/>
      </w:pPr>
      <w:r>
        <w:rPr>
          <w:rStyle w:val="FootnoteCharacters"/>
        </w:rPr>
        <w:footnoteRef/>
      </w:r>
      <w:r>
        <w:rPr/>
        <w:t xml:space="preserve"> </w:t>
      </w:r>
      <w:r>
        <w:rPr/>
        <w:t xml:space="preserve">Adapted from Watson, </w:t>
      </w:r>
      <w:r>
        <w:rPr>
          <w:i/>
          <w:iCs/>
        </w:rPr>
        <w:t>Chuang Tzu</w:t>
      </w:r>
      <w:r>
        <w:rPr/>
        <w:t>, p. 142 (chap. 13).</w:t>
      </w:r>
    </w:p>
  </w:footnote>
  <w:footnote w:id="19">
    <w:p>
      <w:pPr>
        <w:pStyle w:val="Footnote"/>
        <w:rPr/>
      </w:pPr>
      <w:r>
        <w:rPr>
          <w:rStyle w:val="FootnoteCharacters"/>
        </w:rPr>
        <w:footnoteRef/>
      </w:r>
      <w:r>
        <w:rPr/>
        <w:t xml:space="preserve"> </w:t>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footnote>
  <w:footnote w:id="20">
    <w:p>
      <w:pPr>
        <w:pStyle w:val="Footnote"/>
        <w:rPr/>
      </w:pPr>
      <w:r>
        <w:rPr>
          <w:rStyle w:val="FootnoteCharacters"/>
        </w:rPr>
        <w:footnoteRef/>
      </w:r>
      <w:r>
        <w:rPr/>
        <w:t xml:space="preserve"> </w:t>
      </w:r>
      <w:r>
        <w:rPr/>
        <w:t xml:space="preserve">It is also possible that Zhuangzi and Xun Zi are drawing on a common literature, which is lost to us, but because of the similarity in imagery and what we know of the history of these texts, it is at least plausible to infer a direct borrowing. However, nothing in my analysis depends on this being true. In addition to Xun 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footnote>
  <w:footnote w:id="21">
    <w:p>
      <w:pPr>
        <w:pStyle w:val="Footnote"/>
        <w:rPr/>
      </w:pPr>
      <w:r>
        <w:rPr>
          <w:rStyle w:val="FootnoteCharacters"/>
        </w:rPr>
        <w:footnoteRef/>
      </w:r>
      <w:r>
        <w:rPr/>
        <w:t xml:space="preserve"> </w:t>
      </w:r>
      <w:r>
        <w:rPr/>
        <w:t xml:space="preserve">Adapted from Knoblock, </w:t>
      </w:r>
      <w:r>
        <w:rPr>
          <w:i/>
          <w:iCs/>
        </w:rPr>
        <w:t>Xun Zi</w:t>
      </w:r>
      <w:r>
        <w:rPr/>
        <w:t>, 3 : 107 (</w:t>
      </w:r>
      <w:r>
        <w:rPr>
          <w:i/>
          <w:iCs/>
        </w:rPr>
        <w:t>Xun Zi</w:t>
      </w:r>
      <w:r>
        <w:rPr/>
        <w:t xml:space="preserve"> 21.7a);</w:t>
      </w:r>
    </w:p>
  </w:footnote>
  <w:footnote w:id="22">
    <w:p>
      <w:pPr>
        <w:pStyle w:val="Footnote"/>
        <w:rPr/>
      </w:pPr>
      <w:r>
        <w:rPr>
          <w:rStyle w:val="FootnoteCharacters"/>
        </w:rPr>
        <w:footnoteRef/>
      </w:r>
      <w:r>
        <w:rPr/>
        <w:t xml:space="preserve"> </w:t>
      </w:r>
      <w:r>
        <w:rPr/>
        <w:t xml:space="preserve">Knoblock, </w:t>
      </w:r>
      <w:r>
        <w:rPr>
          <w:i/>
          <w:iCs/>
        </w:rPr>
        <w:t>Xun Zi</w:t>
      </w:r>
      <w:r>
        <w:rPr/>
        <w:t>, 3 : 107</w:t>
      </w:r>
    </w:p>
  </w:footnote>
  <w:footnote w:id="23">
    <w:p>
      <w:pPr>
        <w:pStyle w:val="Footnote"/>
        <w:rPr/>
      </w:pPr>
      <w:r>
        <w:rPr>
          <w:rStyle w:val="FootnoteCharacters"/>
        </w:rPr>
        <w:footnoteRef/>
      </w:r>
      <w:r>
        <w:rPr/>
        <w:t xml:space="preserve"> </w:t>
      </w:r>
      <w:r>
        <w:rPr/>
        <w:t xml:space="preserve">Knoblock, </w:t>
      </w:r>
      <w:r>
        <w:rPr>
          <w:i/>
          <w:iCs/>
        </w:rPr>
        <w:t>Xun Zi</w:t>
      </w:r>
      <w:r>
        <w:rPr/>
        <w:t>, 3 : 107</w:t>
      </w:r>
    </w:p>
  </w:footnote>
  <w:footnote w:id="24">
    <w:p>
      <w:pPr>
        <w:pStyle w:val="Footnote"/>
        <w:rPr/>
      </w:pPr>
      <w:r>
        <w:rPr>
          <w:rStyle w:val="FootnoteCharacters"/>
        </w:rPr>
        <w:footnoteRef/>
      </w:r>
      <w:r>
        <w:rPr/>
        <w:t xml:space="preserve"> </w:t>
      </w:r>
      <w:r>
        <w:rPr/>
        <w:t xml:space="preserve">T. C. Kline III has made the helpful distinction between "outside-in" approaches to self-cultivation, such as Xun 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 Zi," in T. C. Kline III and Philip J. Ivanhoe, eds., </w:t>
      </w:r>
      <w:r>
        <w:rPr>
          <w:i/>
          <w:iCs/>
        </w:rPr>
        <w:t>Virtue, Nature, and Moral Agency in the</w:t>
      </w:r>
      <w:r>
        <w:rPr/>
        <w:t xml:space="preserve"> Xun Zi (Indianapolis: Hackett, 2000), pp. 155–175.</w:t>
      </w:r>
    </w:p>
  </w:footnote>
  <w:footnote w:id="25">
    <w:p>
      <w:pPr>
        <w:pStyle w:val="NormalWeb"/>
        <w:spacing w:before="0" w:after="0"/>
        <w:rPr/>
      </w:pPr>
      <w:r>
        <w:rPr>
          <w:rStyle w:val="FootnoteCharacters"/>
        </w:rPr>
        <w:footnoteRef/>
      </w:r>
      <w:r>
        <w:rPr/>
        <w:t xml:space="preserve"> </w:t>
      </w:r>
      <w:r>
        <w:rPr>
          <w:sz w:val="20"/>
        </w:rPr>
        <w:t xml:space="preserve">For example, Xun Zi writes: "A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that has been put to the whetstone will be sharp. In broadening his learning, the </w:t>
      </w:r>
      <w:r>
        <w:rPr>
          <w:i/>
          <w:iCs/>
          <w:sz w:val="20"/>
        </w:rPr>
        <w:t>junzi</w:t>
      </w:r>
      <w:r>
        <w:rPr>
          <w:sz w:val="20"/>
        </w:rPr>
        <w:t xml:space="preserve"> each day examines himself so that his awareness will be discerning and his actions without excess." (Adapted from Knoblock, Xun Zi, 1 : 135 [Xun Zi 1.1])</w:t>
      </w:r>
    </w:p>
  </w:footnote>
  <w:footnote w:id="26">
    <w:p>
      <w:pPr>
        <w:pStyle w:val="Footnote"/>
        <w:rPr/>
      </w:pPr>
      <w:r>
        <w:rPr>
          <w:rStyle w:val="FootnoteCharacters"/>
        </w:rPr>
        <w:footnoteRef/>
      </w:r>
      <w:r>
        <w:rPr/>
        <w:t xml:space="preserve"> </w:t>
      </w:r>
      <w:r>
        <w:rPr/>
        <w:t xml:space="preserve">Knoblock, </w:t>
      </w:r>
      <w:r>
        <w:rPr>
          <w:i/>
          <w:iCs/>
        </w:rPr>
        <w:t>Xun Zi</w:t>
      </w:r>
      <w:r>
        <w:rPr/>
        <w:t>, 3 : 107 (</w:t>
      </w:r>
      <w:r>
        <w:rPr>
          <w:i/>
          <w:iCs/>
        </w:rPr>
        <w:t>Xun Zi</w:t>
      </w:r>
      <w:r>
        <w:rPr/>
        <w:t xml:space="preserve"> 21.7b).</w:t>
      </w:r>
    </w:p>
  </w:footnote>
  <w:footnote w:id="27">
    <w:p>
      <w:pPr>
        <w:pStyle w:val="Footnote"/>
        <w:rPr/>
      </w:pPr>
      <w:r>
        <w:rPr>
          <w:rStyle w:val="FootnoteCharacters"/>
        </w:rPr>
        <w:footnoteRef/>
      </w:r>
      <w:r>
        <w:rPr/>
        <w:t xml:space="preserve"> </w:t>
      </w:r>
      <w:r>
        <w:rPr/>
        <w:t xml:space="preserve">David S. Nivison, "Xun Zi and Zhuangzi," in Kline and Ivanhoe, </w:t>
      </w:r>
      <w:r>
        <w:rPr>
          <w:i/>
          <w:iCs/>
        </w:rPr>
        <w:t>Virtue, Nature, and Moral Agency in</w:t>
      </w:r>
      <w:r>
        <w:rPr/>
        <w:t xml:space="preserve"> the Xun Zi, p. 181.</w:t>
      </w:r>
    </w:p>
  </w:footnote>
  <w:footnote w:id="28">
    <w:p>
      <w:pPr>
        <w:pStyle w:val="Footnote"/>
        <w:rPr/>
      </w:pPr>
      <w:r>
        <w:rPr>
          <w:rStyle w:val="FootnoteCharacters"/>
        </w:rPr>
        <w:footnoteRef/>
      </w:r>
      <w:r>
        <w:rPr/>
        <w:t xml:space="preserve"> </w:t>
      </w:r>
      <w:r>
        <w:rPr/>
        <w:t>Ibid.</w:t>
      </w:r>
    </w:p>
  </w:footnote>
  <w:footnote w:id="29">
    <w:p>
      <w:pPr>
        <w:pStyle w:val="Footnote"/>
        <w:rPr/>
      </w:pPr>
      <w:r>
        <w:rPr>
          <w:rStyle w:val="FootnoteCharacters"/>
        </w:rPr>
        <w:footnoteRef/>
      </w:r>
      <w:r>
        <w:rPr/>
        <w:t xml:space="preserve"> </w:t>
      </w:r>
      <w:r>
        <w:rPr/>
        <w:t xml:space="preserve">Knoblock, </w:t>
      </w:r>
      <w:r>
        <w:rPr>
          <w:i/>
          <w:iCs/>
        </w:rPr>
        <w:t>Xun Zi</w:t>
      </w:r>
      <w:r>
        <w:rPr/>
        <w:t>, 3 : 108 (</w:t>
      </w:r>
      <w:r>
        <w:rPr>
          <w:i/>
          <w:iCs/>
        </w:rPr>
        <w:t>Xun Zi</w:t>
      </w:r>
      <w:r>
        <w:rPr/>
        <w:t xml:space="preserve"> 21.7d).</w:t>
      </w:r>
    </w:p>
  </w:footnote>
  <w:footnote w:id="30">
    <w:p>
      <w:pPr>
        <w:pStyle w:val="Footnote"/>
        <w:rPr/>
      </w:pPr>
      <w:r>
        <w:rPr>
          <w:rStyle w:val="FootnoteCharacters"/>
        </w:rPr>
        <w:footnoteRef/>
      </w:r>
      <w:r>
        <w:rPr>
          <w:lang w:val="es-ES"/>
        </w:rPr>
        <w:t xml:space="preserve"> </w:t>
      </w:r>
      <w:r>
        <w:rPr>
          <w:lang w:val="es-ES"/>
        </w:rPr>
        <w:t>Ibid., p. 109 (</w:t>
      </w:r>
      <w:r>
        <w:rPr>
          <w:i/>
          <w:iCs/>
          <w:lang w:val="es-ES"/>
        </w:rPr>
        <w:t>Xun Zi</w:t>
      </w:r>
      <w:r>
        <w:rPr>
          <w:lang w:val="es-ES"/>
        </w:rPr>
        <w:t xml:space="preserve"> 21.8).</w:t>
      </w:r>
    </w:p>
  </w:footnote>
  <w:footnote w:id="31">
    <w:p>
      <w:pPr>
        <w:pStyle w:val="Footnote"/>
        <w:rPr/>
      </w:pPr>
      <w:r>
        <w:rPr>
          <w:rStyle w:val="FootnoteCharacters"/>
        </w:rPr>
        <w:footnoteRef/>
      </w:r>
      <w:r>
        <w:rPr>
          <w:lang w:val="es-ES"/>
        </w:rPr>
        <w:t xml:space="preserve"> </w:t>
      </w:r>
      <w:r>
        <w:rPr>
          <w:lang w:val="es-ES"/>
        </w:rPr>
        <w:t xml:space="preserve">UMEHARA Sueji, </w:t>
      </w:r>
      <w:r>
        <w:rPr/>
        <w:drawing>
          <wp:inline distT="0" distB="0" distL="0" distR="0">
            <wp:extent cx="1533525" cy="142875"/>
            <wp:effectExtent l="0" t="0" r="0" b="0"/>
            <wp:docPr id="71"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l7" descr="" title=""/>
                    <pic:cNvPicPr>
                      <a:picLocks noChangeAspect="1" noChangeArrowheads="1"/>
                    </pic:cNvPicPr>
                  </pic:nvPicPr>
                  <pic:blipFill>
                    <a:blip r:embed="rId1"/>
                    <a:srcRect l="-31" t="-338" r="-31" b="-338"/>
                    <a:stretch>
                      <a:fillRect/>
                    </a:stretch>
                  </pic:blipFill>
                  <pic:spPr bwMode="auto">
                    <a:xfrm>
                      <a:off x="0" y="0"/>
                      <a:ext cx="1533525" cy="142875"/>
                    </a:xfrm>
                    <a:prstGeom prst="rect">
                      <a:avLst/>
                    </a:prstGeom>
                  </pic:spPr>
                </pic:pic>
              </a:graphicData>
            </a:graphic>
          </wp:inline>
        </w:drawing>
      </w:r>
      <w:r>
        <w:rPr>
          <w:lang w:val="es-ES"/>
        </w:rPr>
        <w:t xml:space="preserve"> (Kyoto, 1939), plate 6. </w:t>
      </w:r>
    </w:p>
  </w:footnote>
  <w:footnote w:id="32">
    <w:p>
      <w:pPr>
        <w:pStyle w:val="Normal"/>
        <w:jc w:val="both"/>
        <w:rPr/>
      </w:pPr>
      <w:r>
        <w:rPr>
          <w:rStyle w:val="FootnoteCharacters"/>
        </w:rPr>
        <w:footnoteRef/>
      </w:r>
      <w:r>
        <w:rPr>
          <w:sz w:val="20"/>
        </w:rPr>
        <w:t xml:space="preserve"> </w:t>
      </w:r>
      <w:r>
        <w:rPr>
          <w:sz w:val="20"/>
          <w:szCs w:val="19"/>
        </w:rPr>
        <w:t xml:space="preserve">YANG Lien-sheng, "A Note on The So-called TLV Mirrors and The Game Liu-po," </w:t>
      </w:r>
      <w:r>
        <w:rPr>
          <w:i/>
          <w:iCs/>
          <w:sz w:val="20"/>
          <w:szCs w:val="19"/>
        </w:rPr>
        <w:t xml:space="preserve">Harvard Journal of Asiatic Studies, </w:t>
      </w:r>
      <w:r>
        <w:rPr>
          <w:sz w:val="20"/>
          <w:szCs w:val="19"/>
        </w:rPr>
        <w:t>Vol. 9, No. 3/4 (Feb., 1947), pp. 202-206</w:t>
      </w:r>
    </w:p>
    <w:p>
      <w:pPr>
        <w:pStyle w:val="Footnote"/>
        <w:rPr>
          <w:sz w:val="20"/>
          <w:szCs w:val="19"/>
        </w:rPr>
      </w:pPr>
      <w:r>
        <w:rPr>
          <w:sz w:val="20"/>
          <w:szCs w:val="19"/>
        </w:rPr>
      </w:r>
    </w:p>
  </w:footnote>
  <w:footnote w:id="33">
    <w:p>
      <w:pPr>
        <w:pStyle w:val="Footnote"/>
        <w:rPr/>
      </w:pPr>
      <w:r>
        <w:rPr>
          <w:rStyle w:val="FootnoteCharacters"/>
        </w:rPr>
        <w:footnoteRef/>
      </w:r>
      <w:r>
        <w:rPr/>
        <w:t xml:space="preserve"> </w:t>
      </w:r>
      <w:r>
        <w:rPr>
          <w:spacing w:val="4"/>
          <w:sz w:val="15"/>
          <w:szCs w:val="15"/>
        </w:rPr>
        <w:t xml:space="preserve">Chuan-yingYen, "Tangdai tongjing </w:t>
      </w:r>
      <w:r>
        <w:rPr>
          <w:spacing w:val="-4"/>
          <w:sz w:val="15"/>
          <w:szCs w:val="15"/>
        </w:rPr>
        <w:t xml:space="preserve">wenshi zhi neirong yu fengge" [Decorative </w:t>
      </w:r>
      <w:r>
        <w:rPr>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spacing w:val="6"/>
          <w:sz w:val="15"/>
          <w:szCs w:val="15"/>
        </w:rPr>
        <w:t xml:space="preserve">Academia Sinica, 60, part </w:t>
      </w:r>
      <w:r>
        <w:rPr>
          <w:spacing w:val="6"/>
          <w:sz w:val="14"/>
          <w:szCs w:val="14"/>
        </w:rPr>
        <w:t>2 (1989), 289-</w:t>
      </w:r>
      <w:r>
        <w:rPr>
          <w:spacing w:val="6"/>
          <w:sz w:val="14"/>
          <w:szCs w:val="14"/>
          <w:vertAlign w:val="superscript"/>
        </w:rPr>
        <w:softHyphen/>
      </w:r>
      <w:r>
        <w:rPr>
          <w:sz w:val="16"/>
          <w:szCs w:val="17"/>
        </w:rPr>
        <w:t>353</w:t>
      </w:r>
      <w:r>
        <w:rPr>
          <w:i/>
          <w:iCs/>
          <w:sz w:val="17"/>
          <w:szCs w:val="17"/>
        </w:rPr>
        <w:t>.</w:t>
      </w:r>
    </w:p>
  </w:footnote>
  <w:footnote w:id="34">
    <w:p>
      <w:pPr>
        <w:pStyle w:val="Footnote"/>
        <w:rPr/>
      </w:pPr>
      <w:r>
        <w:rPr>
          <w:rStyle w:val="FootnoteCharacters"/>
        </w:rPr>
        <w:footnoteRef/>
      </w:r>
      <w:r>
        <w:rPr/>
        <w:t xml:space="preserve"> </w:t>
      </w:r>
      <w:r>
        <w:rPr>
          <w:spacing w:val="1"/>
          <w:sz w:val="15"/>
          <w:szCs w:val="15"/>
        </w:rPr>
        <w:t xml:space="preserve">Kong Xiangxing, "Sui tang tongjing </w:t>
      </w:r>
      <w:r>
        <w:rPr>
          <w:sz w:val="15"/>
          <w:szCs w:val="15"/>
        </w:rPr>
        <w:t xml:space="preserve">de leixing yu fenqi" [Typology and </w:t>
      </w:r>
      <w:r>
        <w:rPr>
          <w:spacing w:val="1"/>
          <w:sz w:val="15"/>
          <w:szCs w:val="15"/>
        </w:rPr>
        <w:t xml:space="preserve">periodization of Sui and Tang mirrors], </w:t>
      </w:r>
      <w:r>
        <w:rPr>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spacing w:val="-2"/>
          <w:sz w:val="15"/>
          <w:szCs w:val="15"/>
        </w:rPr>
        <w:t>(Beijing:Wenwu, 1980), 380-99.</w:t>
      </w:r>
    </w:p>
  </w:footnote>
  <w:footnote w:id="35">
    <w:p>
      <w:pPr>
        <w:pStyle w:val="Footnote"/>
        <w:rPr/>
      </w:pPr>
      <w:r>
        <w:rPr>
          <w:rStyle w:val="FootnoteCharacters"/>
        </w:rPr>
        <w:footnoteRef/>
      </w:r>
      <w:r>
        <w:rPr/>
        <w:t xml:space="preserve"> </w:t>
      </w:r>
      <w:r>
        <w:rPr>
          <w:spacing w:val="-7"/>
          <w:sz w:val="15"/>
          <w:szCs w:val="15"/>
        </w:rPr>
        <w:t xml:space="preserve">Ju-hsi Chou, </w:t>
      </w:r>
      <w:r>
        <w:rPr>
          <w:i/>
          <w:iCs/>
          <w:spacing w:val="-7"/>
          <w:sz w:val="17"/>
          <w:szCs w:val="17"/>
        </w:rPr>
        <w:t xml:space="preserve">Circles of Reflection: The Carter Collection of Chinese Bronze Mirrors </w:t>
      </w:r>
      <w:r>
        <w:rPr>
          <w:sz w:val="15"/>
          <w:szCs w:val="15"/>
        </w:rPr>
        <w:t xml:space="preserve">(Cleveland: Cleveland Museum of Art, </w:t>
      </w:r>
      <w:r>
        <w:rPr>
          <w:spacing w:val="6"/>
          <w:sz w:val="16"/>
          <w:szCs w:val="16"/>
        </w:rPr>
        <w:t>2000), 7.</w:t>
      </w:r>
    </w:p>
  </w:footnote>
  <w:footnote w:id="36">
    <w:p>
      <w:pPr>
        <w:pStyle w:val="Footnote"/>
        <w:rPr/>
      </w:pPr>
      <w:r>
        <w:rPr>
          <w:rStyle w:val="FootnoteCharacters"/>
        </w:rPr>
        <w:footnoteRef/>
      </w:r>
      <w:r>
        <w:rPr/>
        <w:t xml:space="preserve"> </w:t>
      </w:r>
      <w:r>
        <w:rPr>
          <w:spacing w:val="-1"/>
          <w:sz w:val="15"/>
          <w:szCs w:val="15"/>
        </w:rPr>
        <w:t xml:space="preserve">One of the earliestYangzhou mirrors </w:t>
      </w:r>
      <w:r>
        <w:rPr>
          <w:spacing w:val="-5"/>
          <w:sz w:val="15"/>
          <w:szCs w:val="15"/>
        </w:rPr>
        <w:t xml:space="preserve">was produced in mid autumn of 622 and </w:t>
      </w:r>
      <w:r>
        <w:rPr>
          <w:spacing w:val="3"/>
          <w:sz w:val="15"/>
          <w:szCs w:val="15"/>
        </w:rPr>
        <w:t xml:space="preserve">inscribed as a tribute to the court on </w:t>
      </w:r>
      <w:r>
        <w:rPr>
          <w:spacing w:val="-2"/>
          <w:sz w:val="15"/>
          <w:szCs w:val="15"/>
        </w:rPr>
        <w:t xml:space="preserve">the first day of 623. Wang Fu, </w:t>
      </w:r>
      <w:r>
        <w:rPr>
          <w:i/>
          <w:iCs/>
          <w:spacing w:val="-2"/>
          <w:sz w:val="17"/>
          <w:szCs w:val="17"/>
        </w:rPr>
        <w:t xml:space="preserve">Chongxiu Xuanhe bogutu (c. 117o-80) </w:t>
      </w:r>
      <w:r>
        <w:rPr>
          <w:spacing w:val="-2"/>
          <w:sz w:val="15"/>
          <w:szCs w:val="15"/>
        </w:rPr>
        <w:t xml:space="preserve">[Revised </w:t>
      </w:r>
      <w:r>
        <w:rPr>
          <w:spacing w:val="-4"/>
          <w:sz w:val="15"/>
          <w:szCs w:val="15"/>
        </w:rPr>
        <w:t xml:space="preserve">illustrated antiques of the Xuanhe era </w:t>
      </w:r>
      <w:r>
        <w:rPr>
          <w:i/>
          <w:iCs/>
          <w:spacing w:val="-4"/>
          <w:sz w:val="17"/>
          <w:szCs w:val="17"/>
        </w:rPr>
        <w:t xml:space="preserve">(c. </w:t>
      </w:r>
      <w:r>
        <w:rPr>
          <w:spacing w:val="-5"/>
          <w:sz w:val="15"/>
          <w:szCs w:val="15"/>
        </w:rPr>
        <w:t xml:space="preserve">1170-80)], reprint of 1603 edition (Taipei: </w:t>
      </w:r>
      <w:r>
        <w:rPr>
          <w:spacing w:val="-4"/>
          <w:sz w:val="15"/>
          <w:szCs w:val="15"/>
        </w:rPr>
        <w:t>Xinxing, 1969), 29: 16.</w:t>
      </w:r>
    </w:p>
  </w:footnote>
  <w:footnote w:id="37">
    <w:p>
      <w:pPr>
        <w:pStyle w:val="Footnote"/>
        <w:rPr/>
      </w:pPr>
      <w:r>
        <w:rPr>
          <w:rStyle w:val="FootnoteCharacters"/>
        </w:rPr>
        <w:footnoteRef/>
      </w:r>
      <w:r>
        <w:rPr/>
        <w:t xml:space="preserve"> </w:t>
      </w:r>
      <w:r>
        <w:rPr>
          <w:spacing w:val="-1"/>
          <w:sz w:val="15"/>
          <w:szCs w:val="15"/>
        </w:rPr>
        <w:t xml:space="preserve">Jessica Rawson, "The Ornament on </w:t>
      </w:r>
      <w:r>
        <w:rPr>
          <w:sz w:val="15"/>
          <w:szCs w:val="15"/>
        </w:rPr>
        <w:t xml:space="preserve">Chinese Silver in the Tang dynasty (AD </w:t>
      </w:r>
      <w:r>
        <w:rPr>
          <w:spacing w:val="-6"/>
          <w:sz w:val="15"/>
          <w:szCs w:val="15"/>
        </w:rPr>
        <w:t xml:space="preserve">618-906)," </w:t>
      </w:r>
      <w:r>
        <w:rPr>
          <w:i/>
          <w:iCs/>
          <w:spacing w:val="-6"/>
          <w:sz w:val="17"/>
          <w:szCs w:val="17"/>
        </w:rPr>
        <w:t xml:space="preserve">British Museum Occasional Paper, </w:t>
      </w:r>
      <w:r>
        <w:rPr>
          <w:spacing w:val="-4"/>
          <w:sz w:val="15"/>
          <w:szCs w:val="15"/>
        </w:rPr>
        <w:t>no. 40 (London: British Museum, 1982), 1</w:t>
      </w:r>
    </w:p>
  </w:footnote>
  <w:footnote w:id="38">
    <w:p>
      <w:pPr>
        <w:pStyle w:val="Footnote"/>
        <w:rPr/>
      </w:pPr>
      <w:r>
        <w:rPr>
          <w:rStyle w:val="FootnoteCharacters"/>
        </w:rPr>
        <w:footnoteRef/>
      </w:r>
      <w:r>
        <w:rPr/>
        <w:t xml:space="preserve"> </w:t>
      </w:r>
      <w:r>
        <w:rPr>
          <w:spacing w:val="-2"/>
          <w:sz w:val="15"/>
          <w:szCs w:val="15"/>
        </w:rPr>
        <w:t xml:space="preserve">Hayashi Minao, "Chilgoku kodai ni </w:t>
      </w:r>
      <w:r>
        <w:rPr>
          <w:sz w:val="15"/>
          <w:szCs w:val="15"/>
        </w:rPr>
        <w:t xml:space="preserve">okeru renge no shocho" [The symbol of </w:t>
      </w:r>
      <w:r>
        <w:rPr>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spacing w:val="6"/>
          <w:sz w:val="16"/>
          <w:szCs w:val="16"/>
        </w:rPr>
        <w:t>59 (1987), 1</w:t>
      </w:r>
      <w:r>
        <w:rPr>
          <w:spacing w:val="6"/>
          <w:sz w:val="6"/>
          <w:szCs w:val="6"/>
        </w:rPr>
        <w:t>-</w:t>
      </w:r>
      <w:r>
        <w:rPr>
          <w:spacing w:val="6"/>
          <w:sz w:val="16"/>
          <w:szCs w:val="16"/>
        </w:rPr>
        <w:t>61.</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szCs w:val="15"/>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Shorttext">
    <w:name w:val="short_text"/>
    <w:basedOn w:val="DefaultParagraphFont"/>
    <w:qFormat/>
    <w:rPr/>
  </w:style>
  <w:style w:type="character" w:styleId="FootnoteCharacters">
    <w:name w:val="Footnote Characters"/>
    <w:basedOn w:val="DefaultParagraphFont"/>
    <w:qFormat/>
    <w:rPr>
      <w:vertAlign w:val="superscript"/>
    </w:rPr>
  </w:style>
  <w:style w:type="character" w:styleId="Emphasis">
    <w:name w:val="Emphasis"/>
    <w:basedOn w:val="DefaultParagraphFont"/>
    <w:qFormat/>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ootnote">
    <w:name w:val="Footnote Text"/>
    <w:basedOn w:val="Normal"/>
    <w:pPr/>
    <w:rPr>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3674;" TargetMode="External"/><Relationship Id="rId3" Type="http://schemas.openxmlformats.org/officeDocument/2006/relationships/hyperlink" Target="http://en.wiktionary.org/wiki/&#2337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en.wikipedia.org/wiki/Qin_Dynasty" TargetMode="External"/><Relationship Id="rId7" Type="http://schemas.openxmlformats.org/officeDocument/2006/relationships/hyperlink" Target="http://en.wikipedia.org/wiki/Zhou_Dynasty" TargetMode="External"/><Relationship Id="rId8" Type="http://schemas.openxmlformats.org/officeDocument/2006/relationships/hyperlink" Target="http://en.wikipedia.org/wiki/Spring_and_Autumn_Period" TargetMode="External"/><Relationship Id="rId9" Type="http://schemas.openxmlformats.org/officeDocument/2006/relationships/hyperlink" Target="http://en.wikipedia.org/wiki/Partition_of_Jin" TargetMode="External"/><Relationship Id="rId10" Type="http://schemas.openxmlformats.org/officeDocument/2006/relationships/hyperlink" Target="http://en.wikipedia.org/wiki/Mencius" TargetMode="External"/><Relationship Id="rId11" Type="http://schemas.openxmlformats.org/officeDocument/2006/relationships/hyperlink" Target="http://en.wikipedia.org/wiki/Sun_Tzu" TargetMode="External"/><Relationship Id="rId12" Type="http://schemas.openxmlformats.org/officeDocument/2006/relationships/hyperlink" Target="http://en.wikipedia.org/wiki/Lao_Zi" TargetMode="External"/><Relationship Id="rId13" Type="http://schemas.openxmlformats.org/officeDocument/2006/relationships/hyperlink" Target="http://en.wikipedia.org/wiki/Zhuang_Zi" TargetMode="External"/><Relationship Id="rId14" Type="http://schemas.openxmlformats.org/officeDocument/2006/relationships/hyperlink" Target="http://en.wikipedia.org/wiki/Han_Feizi" TargetMode="External"/><Relationship Id="rId15" Type="http://schemas.openxmlformats.org/officeDocument/2006/relationships/hyperlink" Target="http://en.wikipedia.org/wiki/Xun_Zi" TargetMode="External"/><Relationship Id="rId16" Type="http://schemas.openxmlformats.org/officeDocument/2006/relationships/hyperlink" Target="http://en.wikipedia.org/wiki/Mozi"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commons.wikimedia.org/w/index.php?title=Wei_(state)&amp;action=edit&amp;redlink=1" TargetMode="External"/><Relationship Id="rId20" Type="http://schemas.openxmlformats.org/officeDocument/2006/relationships/hyperlink" Target="http://zh.wikipedia.org/wiki/&#34910;&#22283;"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hyperlink" Target="http://en.wikipedia.org/wiki/Ding_(vessel)"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oleObject" Target="embeddings/oleObject1.bin"/><Relationship Id="rId36" Type="http://schemas.openxmlformats.org/officeDocument/2006/relationships/image" Target="media/image18.wmf"/><Relationship Id="rId37" Type="http://schemas.openxmlformats.org/officeDocument/2006/relationships/oleObject" Target="embeddings/oleObject2.bin"/><Relationship Id="rId38" Type="http://schemas.openxmlformats.org/officeDocument/2006/relationships/image" Target="media/image19.wmf"/><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docProps/app.xml><?xml version="1.0" encoding="utf-8"?>
<Properties xmlns="http://schemas.openxmlformats.org/officeDocument/2006/extended-properties" xmlns:vt="http://schemas.openxmlformats.org/officeDocument/2006/docPropsVTypes">
  <Template>Normal.dot</Template>
  <TotalTime>681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2011-05-24T14:35:00Z</dcterms:created>
  <dc:creator>USER</dc:creator>
  <dc:description/>
  <dc:language>en-US</dc:language>
  <cp:lastModifiedBy>USER</cp:lastModifiedBy>
  <dcterms:modified xsi:type="dcterms:W3CDTF">2011-05-27T17:59:00Z</dcterms:modified>
  <cp:revision>10</cp:revision>
  <dc:subject/>
  <dc:title>RC-Ancient Chinese Mirrors: Reflections of  Eternity and Change</dc:title>
</cp:coreProperties>
</file>