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A000-Afr-Mali-Dogon-Non-African-Figural Container-Bronze-17</w:t>
      </w:r>
      <w:r>
        <w:rPr>
          <w:vertAlign w:val="superscript"/>
        </w:rPr>
        <w:t>th</w:t>
      </w:r>
      <w:r>
        <w:rPr/>
        <w:t xml:space="preserve"> c</w:t>
      </w:r>
    </w:p>
    <w:p>
      <w:pPr>
        <w:pStyle w:val="Normal"/>
        <w:rPr/>
      </w:pPr>
      <w:r>
        <w:rPr/>
      </w:r>
    </w:p>
    <w:p>
      <w:pPr>
        <w:pStyle w:val="Normal"/>
        <w:rPr/>
      </w:pPr>
      <w:r>
        <w:rPr/>
        <w:drawing>
          <wp:inline distT="0" distB="0" distL="0" distR="0">
            <wp:extent cx="6443345" cy="45599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7" r="-5" b="-7"/>
                    <a:stretch>
                      <a:fillRect/>
                    </a:stretch>
                  </pic:blipFill>
                  <pic:spPr bwMode="auto">
                    <a:xfrm>
                      <a:off x="0" y="0"/>
                      <a:ext cx="6443345" cy="4559935"/>
                    </a:xfrm>
                    <a:prstGeom prst="rect">
                      <a:avLst/>
                    </a:prstGeom>
                  </pic:spPr>
                </pic:pic>
              </a:graphicData>
            </a:graphic>
          </wp:inline>
        </w:drawing>
      </w:r>
    </w:p>
    <w:p>
      <w:pPr>
        <w:pStyle w:val="Normal"/>
        <w:rPr/>
      </w:pPr>
      <w:r>
        <w:rPr/>
        <w:t>Figs. 1-3. Afr-Mali-Dogon-Non-African-Figural Container-Bronze-17</w:t>
      </w:r>
      <w:r>
        <w:rPr>
          <w:vertAlign w:val="superscript"/>
        </w:rPr>
        <w:t>th</w:t>
      </w:r>
      <w:r>
        <w:rPr/>
        <w:t xml:space="preserve"> c</w:t>
      </w:r>
    </w:p>
    <w:p>
      <w:pPr>
        <w:pStyle w:val="Normal"/>
        <w:rPr/>
      </w:pPr>
      <w:r>
        <w:rPr>
          <w:rStyle w:val="StrongEmphasis"/>
        </w:rPr>
        <w:t>Case No.: 6</w:t>
      </w:r>
    </w:p>
    <w:p>
      <w:pPr>
        <w:pStyle w:val="Normal"/>
        <w:rPr/>
      </w:pPr>
      <w:r>
        <w:rPr>
          <w:b/>
        </w:rPr>
        <w:t>Accession No.</w:t>
      </w:r>
    </w:p>
    <w:p>
      <w:pPr>
        <w:pStyle w:val="Normal"/>
        <w:rPr>
          <w:b/>
          <w:b/>
        </w:rPr>
      </w:pPr>
      <w:r>
        <w:rPr>
          <w:b/>
        </w:rPr>
        <w:t xml:space="preserve">Formal Label: </w:t>
      </w:r>
      <w:r>
        <w:rPr/>
        <w:t>Afr-Mali-Dogon-Non-African-Figural Container-Bronze-17</w:t>
      </w:r>
      <w:r>
        <w:rPr>
          <w:vertAlign w:val="superscript"/>
        </w:rPr>
        <w:t>th</w:t>
      </w:r>
      <w:r>
        <w:rPr/>
        <w:t xml:space="preserve"> c</w:t>
      </w:r>
    </w:p>
    <w:p>
      <w:pPr>
        <w:pStyle w:val="Normal"/>
        <w:rPr>
          <w:b/>
          <w:b/>
        </w:rPr>
      </w:pPr>
      <w:r>
        <w:rPr>
          <w:b/>
        </w:rPr>
        <w:t>Display Description:</w:t>
      </w:r>
    </w:p>
    <w:p>
      <w:pPr>
        <w:pStyle w:val="NormalWeb"/>
        <w:rPr>
          <w:color w:val="000000"/>
          <w:sz w:val="27"/>
          <w:szCs w:val="27"/>
        </w:rPr>
      </w:pPr>
      <w:r>
        <w:rPr>
          <w:b/>
        </w:rPr>
        <w:t xml:space="preserve">This </w:t>
      </w:r>
      <w:r>
        <w:rPr/>
        <w:t xml:space="preserve">Non-African-Figural Container suggests the early contacts across the Sahara with peoples coming from the Nile River who brought Islam with them. This container was obviously very prized as its patina attests and it may have contained </w:t>
      </w:r>
      <w:r>
        <w:rPr>
          <w:color w:val="000000"/>
          <w:szCs w:val="20"/>
        </w:rPr>
        <w:t xml:space="preserve">betel nut juice or some other stimulant. Its lid has a provocative likeness of an elder who holds the </w:t>
      </w:r>
      <w:r>
        <w:rPr>
          <w:i/>
          <w:iCs/>
          <w:color w:val="000000"/>
          <w:szCs w:val="20"/>
        </w:rPr>
        <w:t>baton de commandement</w:t>
      </w:r>
      <w:r>
        <w:rPr>
          <w:color w:val="000000"/>
          <w:szCs w:val="20"/>
        </w:rPr>
        <w:t xml:space="preserve"> of his office in his right hand. He was probably an important figure of his tribal group on Mali’s bandiagara escarpment.</w:t>
      </w:r>
    </w:p>
    <w:p>
      <w:pPr>
        <w:pStyle w:val="Normal"/>
        <w:rPr>
          <w:b/>
          <w:b/>
        </w:rPr>
      </w:pPr>
      <w:r>
        <w:rPr>
          <w:b/>
        </w:rPr>
        <w:t xml:space="preserve">Accession Number: </w:t>
      </w:r>
    </w:p>
    <w:p>
      <w:pPr>
        <w:pStyle w:val="Normal"/>
        <w:rPr>
          <w:b/>
          <w:b/>
        </w:rPr>
      </w:pPr>
      <w:r>
        <w:rPr>
          <w:b/>
        </w:rPr>
        <w:t>LC Classification:</w:t>
      </w:r>
    </w:p>
    <w:p>
      <w:pPr>
        <w:pStyle w:val="Normal"/>
        <w:rPr>
          <w:b/>
          <w:b/>
        </w:rPr>
      </w:pPr>
      <w:r>
        <w:rPr>
          <w:b/>
        </w:rPr>
        <w:t>Date or Time Horizon: 17c or earlier</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b/>
          <w:b/>
        </w:rPr>
      </w:pPr>
      <w:r>
        <w:rPr>
          <w:b/>
        </w:rPr>
        <w:t xml:space="preserve">Dimensions: H </w:t>
      </w:r>
      <w:r>
        <w:rPr/>
        <w:t>7 in</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r>
        <w:rPr/>
        <w:t>Rarity finest old Dogon bronze Figure from the Bandiagara Escarpment</w:t>
      </w:r>
    </w:p>
    <w:p>
      <w:pPr>
        <w:pStyle w:val="Normal"/>
        <w:rPr>
          <w:b/>
          <w:b/>
        </w:rPr>
      </w:pPr>
      <w:r>
        <w:rPr>
          <w:b/>
        </w:rPr>
        <w:t>Discussion:</w:t>
      </w:r>
    </w:p>
    <w:p>
      <w:pPr>
        <w:pStyle w:val="Normal"/>
        <w:rPr>
          <w:b/>
          <w:b/>
        </w:rPr>
      </w:pPr>
      <w:r>
        <w:rPr>
          <w:b/>
        </w:rPr>
        <w:t>References:</w:t>
      </w:r>
    </w:p>
    <w:p>
      <w:pPr>
        <w:pStyle w:val="Normal"/>
        <w:rPr>
          <w:b/>
          <w:b/>
        </w:rPr>
      </w:pPr>
      <w:r>
        <w:rPr>
          <w:b/>
        </w:rPr>
      </w:r>
      <w:r>
        <w:br w:type="page"/>
      </w:r>
    </w:p>
    <w:p>
      <w:pPr>
        <w:pStyle w:val="Normal"/>
        <w:rPr/>
      </w:pPr>
      <w:r>
        <w:rPr/>
      </w:r>
    </w:p>
    <w:p>
      <w:pPr>
        <w:pStyle w:val="Normal"/>
        <w:rPr/>
      </w:pPr>
      <w:r>
        <w:rPr/>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binding">
    <w:name w:val="ng-binding"/>
    <w:basedOn w:val="DefaultParagraphFont"/>
    <w:qFormat/>
    <w:rPr/>
  </w:style>
  <w:style w:type="character" w:styleId="Appleconvertedspace">
    <w:name w:val="apple-converted-space"/>
    <w:basedOn w:val="DefaultParagraphFont"/>
    <w:qFormat/>
    <w:rPr/>
  </w:style>
  <w:style w:type="character" w:styleId="InternetLink">
    <w:name w:val="Internet Link"/>
    <w:rPr>
      <w:color w:val="0000FF"/>
      <w:u w:val="single"/>
    </w:rPr>
  </w:style>
  <w:style w:type="character" w:styleId="StrongEmphasis">
    <w:name w:val="Strong Emphasis"/>
    <w:qFormat/>
    <w:rPr>
      <w:b/>
      <w:bCs/>
    </w:rPr>
  </w:style>
  <w:style w:type="character" w:styleId="Ngbindingngscope">
    <w:name w:val="ng-binding ng-scope"/>
    <w:basedOn w:val="DefaultParagraphFont"/>
    <w:qFormat/>
    <w:rPr/>
  </w:style>
  <w:style w:type="character" w:styleId="Ngbindingordertotalcost">
    <w:name w:val="ng-binding ordertotalcost"/>
    <w:basedOn w:val="DefaultParagraphFont"/>
    <w:qFormat/>
    <w:rPr/>
  </w:style>
  <w:style w:type="character" w:styleId="BalloonTextChar">
    <w:name w:val="Balloon Text Char"/>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Ngbinding1">
    <w:name w:val="ng-binding1"/>
    <w:basedOn w:val="Normal"/>
    <w:qFormat/>
    <w:pPr>
      <w:spacing w:before="280" w:after="280"/>
    </w:pPr>
    <w:rPr/>
  </w:style>
  <w:style w:type="paragraph" w:styleId="BalloonText">
    <w:name w:val="Balloon Text"/>
    <w:basedOn w:val="Normal"/>
    <w:qFormat/>
    <w:pPr/>
    <w:rPr>
      <w:rFonts w:ascii="Segoe UI" w:hAnsi="Segoe UI" w:cs="Segoe UI"/>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2018-07-11T01:58:00Z</dcterms:created>
  <dc:creator>owner</dc:creator>
  <dc:description/>
  <cp:keywords/>
  <dc:language>en-US</dc:language>
  <cp:lastModifiedBy>Ralph Coffman</cp:lastModifiedBy>
  <dcterms:modified xsi:type="dcterms:W3CDTF">2018-07-11T02:01:00Z</dcterms:modified>
  <cp:revision>3</cp:revision>
  <dc:subject/>
  <dc:title>DIS-AFR-Mali-Dogon bronze Figure</dc:title>
</cp:coreProperties>
</file>