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4.png" ContentType="image/png"/>
  <Override PartName="/word/media/image3.jpeg" ContentType="image/jpeg"/>
  <Override PartName="/word/media/image5.png" ContentType="image/png"/>
  <Override PartName="/word/media/image2.jpeg" ContentType="image/jpeg"/>
  <Override PartName="/word/media/image1.jpeg" ContentType="image/jpeg"/>
  <Override PartName="/word/media/image11.png" ContentType="image/png"/>
  <Override PartName="/word/media/image6.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A000-Afr-Ashanti-Chieftain holding Ceremonial Stool-Gold tone bronze-20</w:t>
      </w:r>
      <w:r>
        <w:rPr>
          <w:vertAlign w:val="superscript"/>
        </w:rPr>
        <w:t>th</w:t>
      </w:r>
      <w:r>
        <w:rPr/>
        <w:t xml:space="preserve"> c</w:t>
      </w:r>
    </w:p>
    <w:p>
      <w:pPr>
        <w:pStyle w:val="Normal"/>
        <w:rPr/>
      </w:pPr>
      <w:r>
        <w:rPr/>
        <w:drawing>
          <wp:inline distT="0" distB="0" distL="0" distR="0">
            <wp:extent cx="1628775" cy="4514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9" t="-10" r="-29" b="-10"/>
                    <a:stretch>
                      <a:fillRect/>
                    </a:stretch>
                  </pic:blipFill>
                  <pic:spPr bwMode="auto">
                    <a:xfrm>
                      <a:off x="0" y="0"/>
                      <a:ext cx="1628775" cy="4514850"/>
                    </a:xfrm>
                    <a:prstGeom prst="rect">
                      <a:avLst/>
                    </a:prstGeom>
                  </pic:spPr>
                </pic:pic>
              </a:graphicData>
            </a:graphic>
          </wp:inline>
        </w:drawing>
      </w:r>
      <w:r>
        <w:rPr/>
        <w:drawing>
          <wp:inline distT="0" distB="0" distL="0" distR="0">
            <wp:extent cx="4109085" cy="44862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12" r="-13" b="-12"/>
                    <a:stretch>
                      <a:fillRect/>
                    </a:stretch>
                  </pic:blipFill>
                  <pic:spPr bwMode="auto">
                    <a:xfrm>
                      <a:off x="0" y="0"/>
                      <a:ext cx="4109085" cy="4486275"/>
                    </a:xfrm>
                    <a:prstGeom prst="rect">
                      <a:avLst/>
                    </a:prstGeom>
                  </pic:spPr>
                </pic:pic>
              </a:graphicData>
            </a:graphic>
          </wp:inline>
        </w:drawing>
      </w:r>
    </w:p>
    <w:p>
      <w:pPr>
        <w:pStyle w:val="Normal"/>
        <w:rPr/>
      </w:pPr>
      <w:r>
        <w:rPr/>
        <w:t>Figs 1-2. Afr-Ashanti-Chieftain holding Ceremonial Stool-Gold tone bronze-20</w:t>
      </w:r>
      <w:r>
        <w:rPr>
          <w:vertAlign w:val="superscript"/>
        </w:rPr>
        <w:t>th</w:t>
      </w:r>
      <w:r>
        <w:rPr/>
        <w:t xml:space="preserve"> c </w:t>
      </w:r>
    </w:p>
    <w:p>
      <w:pPr>
        <w:pStyle w:val="Normal"/>
        <w:rPr/>
      </w:pPr>
      <w:r>
        <w:rPr/>
        <w:t>14 in. high, lost wax process, gold tone bronze.</w:t>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Afr-Ashanti-Chieftain holding Ceremonial Stool-Gold tone bronze-20</w:t>
      </w:r>
      <w:r>
        <w:rPr>
          <w:vertAlign w:val="superscript"/>
        </w:rPr>
        <w:t>th</w:t>
      </w:r>
      <w:r>
        <w:rPr/>
        <w:t xml:space="preserve"> c </w:t>
      </w:r>
    </w:p>
    <w:p>
      <w:pPr>
        <w:pStyle w:val="Normal"/>
        <w:rPr>
          <w:b/>
          <w:b/>
        </w:rPr>
      </w:pPr>
      <w:r>
        <w:rPr>
          <w:b/>
        </w:rPr>
        <w:t>Display Description:</w:t>
      </w:r>
    </w:p>
    <w:p>
      <w:pPr>
        <w:pStyle w:val="NormalWeb"/>
        <w:rPr/>
      </w:pPr>
      <w:r>
        <w:rPr/>
        <w:t xml:space="preserve">It is intended that the symbolism of the stool  becomes not only the property of the owner but also the identification of the owner's spirit and being. With this ontological symbolism it is important to prevent some one other than the owner to assume its ontological being by sitting on it or to allow a malevolent spirit to take charge of the stool and with it the owner's spirit. Therefore, often stools will be seen with their upper corners worn from being leaned up against the wall or laid down on their sides to prevent unauthorized use of it, as evident in this specimen.  </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Web"/>
        <w:rPr/>
      </w:pPr>
      <w:r>
        <w:rPr/>
        <w:t xml:space="preserve">Asihene, Emmanuel V. 1978. </w:t>
      </w:r>
      <w:r>
        <w:rPr>
          <w:i/>
          <w:iCs/>
        </w:rPr>
        <w:t>Understanding the traditional art of Ghana.</w:t>
      </w:r>
      <w:r>
        <w:rPr/>
        <w:t xml:space="preserve"> Rutherford, Madison, Teaneck: Fairleigh Dickinson University Press; London: Associated University Presses.</w:t>
      </w:r>
    </w:p>
    <w:p>
      <w:pPr>
        <w:pStyle w:val="NormalWeb"/>
        <w:rPr/>
      </w:pPr>
      <w:hyperlink r:id="rId4">
        <w:r>
          <w:rPr>
            <w:rStyle w:val="InternetLink"/>
          </w:rPr>
          <w:t>Sarpong</w:t>
        </w:r>
      </w:hyperlink>
      <w:hyperlink r:id="rId5">
        <w:r>
          <w:rPr>
            <w:rStyle w:val="InternetLink"/>
          </w:rPr>
          <w:t>i</w:t>
        </w:r>
      </w:hyperlink>
      <w:r>
        <w:rPr/>
        <w:t xml:space="preserve">, </w:t>
      </w:r>
      <w:hyperlink r:id="rId6">
        <w:r>
          <w:rPr>
            <w:rStyle w:val="InternetLink"/>
          </w:rPr>
          <w:t>Peter Kwas</w:t>
        </w:r>
      </w:hyperlink>
      <w:r>
        <w:rPr/>
        <w:t xml:space="preserve">. The Sacred Stools of Ashanti, </w:t>
      </w:r>
      <w:r>
        <w:rPr>
          <w:rStyle w:val="HTMLCite"/>
        </w:rPr>
        <w:t>Anthropos</w:t>
      </w:r>
      <w:r>
        <w:rPr/>
        <w:t>, Bd. 62, H. 1./2. (1967), pp. 1-60.</w:t>
      </w:r>
    </w:p>
    <w:p>
      <w:pPr>
        <w:pStyle w:val="Normal"/>
        <w:rPr>
          <w:b/>
          <w:b/>
        </w:rPr>
      </w:pPr>
      <w:r>
        <w:rPr>
          <w:b/>
        </w:rPr>
        <w:t>Appendix:</w:t>
      </w:r>
    </w:p>
    <w:p>
      <w:pPr>
        <w:pStyle w:val="Normal"/>
        <w:rPr/>
      </w:pPr>
      <w:r>
        <w:rPr>
          <w:rFonts w:eastAsia="Times New Roman"/>
        </w:rPr>
        <w:t xml:space="preserve"> </w:t>
      </w:r>
      <w:r>
        <w:rPr/>
        <w:t>Details of statuette</w:t>
      </w:r>
    </w:p>
    <w:p>
      <w:pPr>
        <w:pStyle w:val="Normal"/>
        <w:rPr/>
      </w:pPr>
      <w:r>
        <w:rPr/>
        <w:drawing>
          <wp:inline distT="0" distB="0" distL="0" distR="0">
            <wp:extent cx="4886325" cy="45529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rcRect l="-9" t="-10" r="-9" b="-10"/>
                    <a:stretch>
                      <a:fillRect/>
                    </a:stretch>
                  </pic:blipFill>
                  <pic:spPr bwMode="auto">
                    <a:xfrm>
                      <a:off x="0" y="0"/>
                      <a:ext cx="4886325" cy="4552950"/>
                    </a:xfrm>
                    <a:prstGeom prst="rect">
                      <a:avLst/>
                    </a:prstGeom>
                  </pic:spPr>
                </pic:pic>
              </a:graphicData>
            </a:graphic>
          </wp:inline>
        </w:drawing>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rcRect l="-317" t="-317" r="-317" b="-317"/>
                    <a:stretch>
                      <a:fillRect/>
                    </a:stretch>
                  </pic:blipFill>
                  <pic:spPr bwMode="auto">
                    <a:xfrm>
                      <a:off x="0" y="0"/>
                      <a:ext cx="152400" cy="152400"/>
                    </a:xfrm>
                    <a:prstGeom prst="rect">
                      <a:avLst/>
                    </a:prstGeom>
                  </pic:spPr>
                </pic:pic>
              </a:graphicData>
            </a:graphic>
          </wp:inline>
        </w:drawing>
      </w:r>
      <w:hyperlink r:id="rId10">
        <w:r>
          <w:rPr>
            <w:rStyle w:val="InternetLink"/>
          </w:rPr>
          <w:t>Printer version</w:t>
        </w:r>
      </w:hyperlink>
    </w:p>
    <w:tbl>
      <w:tblPr>
        <w:tblW w:w="7625" w:type="dxa"/>
        <w:jc w:val="start"/>
        <w:tblInd w:w="-45" w:type="dxa"/>
        <w:tblBorders/>
        <w:tblCellMar>
          <w:top w:w="15" w:type="dxa"/>
          <w:start w:w="15" w:type="dxa"/>
          <w:bottom w:w="30" w:type="dxa"/>
          <w:end w:w="15" w:type="dxa"/>
        </w:tblCellMar>
      </w:tblPr>
      <w:tblGrid>
        <w:gridCol w:w="702"/>
        <w:gridCol w:w="5521"/>
        <w:gridCol w:w="1402"/>
      </w:tblGrid>
      <w:tr>
        <w:trPr/>
        <w:tc>
          <w:tcPr>
            <w:tcW w:w="702" w:type="dxa"/>
            <w:tcBorders/>
            <w:shd w:fill="auto" w:val="clear"/>
            <w:vAlign w:val="center"/>
          </w:tcPr>
          <w:p>
            <w:pPr>
              <w:pStyle w:val="Normal"/>
              <w:rPr/>
            </w:pPr>
            <w:r>
              <w:rPr/>
              <w:t>Seller:</w:t>
            </w:r>
          </w:p>
        </w:tc>
        <w:tc>
          <w:tcPr>
            <w:tcW w:w="5521" w:type="dxa"/>
            <w:tcBorders/>
            <w:shd w:fill="auto" w:val="clear"/>
            <w:tcMar>
              <w:bottom w:w="15" w:type="dxa"/>
            </w:tcMar>
            <w:vAlign w:val="center"/>
          </w:tcPr>
          <w:p>
            <w:pPr>
              <w:pStyle w:val="Normal"/>
              <w:rPr/>
            </w:pPr>
            <w:hyperlink r:id="rId11">
              <w:r>
                <w:rPr>
                  <w:rStyle w:val="InternetLink"/>
                  <w:b/>
                  <w:bCs/>
                </w:rPr>
                <w:t xml:space="preserve">Member id </w:t>
              </w:r>
              <w:r>
                <w:rPr>
                  <w:rStyle w:val="Mbgnw"/>
                  <w:color w:val="0000FF"/>
                  <w:u w:val="single"/>
                </w:rPr>
                <w:t>hcarey</w:t>
              </w:r>
            </w:hyperlink>
            <w:r>
              <w:rPr/>
              <w:t xml:space="preserve"> </w:t>
            </w:r>
            <w:r>
              <w:rPr>
                <w:rStyle w:val="Mbgl"/>
              </w:rPr>
              <w:t xml:space="preserve">( </w:t>
            </w:r>
            <w:hyperlink r:id="rId12">
              <w:r>
                <w:rPr>
                  <w:rStyle w:val="InternetLink"/>
                  <w:b/>
                  <w:bCs/>
                </w:rPr>
                <w:t>Feedback Score Of</w:t>
              </w:r>
              <w:r>
                <w:rPr>
                  <w:rStyle w:val="InternetLink"/>
                </w:rPr>
                <w:t xml:space="preserve"> 12653</w:t>
              </w:r>
              <w:r>
                <w:rPr/>
                <w:drawing>
                  <wp:inline distT="0" distB="0" distL="0" distR="0">
                    <wp:extent cx="238125" cy="238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3"/>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r>
              <w:rPr>
                <w:color w:val="0000FF"/>
              </w:rPr>
              <w:drawing>
                <wp:inline distT="0" distB="0" distL="0" distR="0">
                  <wp:extent cx="190500" cy="1905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4"/>
                          <a:srcRect l="-253" t="-253" r="-253" b="-253"/>
                          <a:stretch>
                            <a:fillRect/>
                          </a:stretch>
                        </pic:blipFill>
                        <pic:spPr bwMode="auto">
                          <a:xfrm>
                            <a:off x="0" y="0"/>
                            <a:ext cx="190500" cy="190500"/>
                          </a:xfrm>
                          <a:prstGeom prst="rect">
                            <a:avLst/>
                          </a:prstGeom>
                        </pic:spPr>
                      </pic:pic>
                    </a:graphicData>
                  </a:graphic>
                </wp:inline>
              </w:drawing>
            </w:r>
          </w:p>
        </w:tc>
        <w:tc>
          <w:tcPr>
            <w:tcW w:w="1402" w:type="dxa"/>
            <w:tcBorders/>
            <w:shd w:fill="auto" w:val="clear"/>
            <w:tcMar>
              <w:bottom w:w="15" w:type="dxa"/>
            </w:tcMar>
            <w:vAlign w:val="center"/>
          </w:tcPr>
          <w:p>
            <w:pPr>
              <w:pStyle w:val="Normal"/>
              <w:rPr/>
            </w:pPr>
            <w:hyperlink r:id="rId15">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6"/>
                          <a:srcRect l="-317" t="-317" r="-317" b="-317"/>
                          <a:stretch>
                            <a:fillRect/>
                          </a:stretch>
                        </pic:blipFill>
                        <pic:spPr bwMode="auto">
                          <a:xfrm>
                            <a:off x="0" y="0"/>
                            <a:ext cx="152400" cy="152400"/>
                          </a:xfrm>
                          <a:prstGeom prst="rect">
                            <a:avLst/>
                          </a:prstGeom>
                        </pic:spPr>
                      </pic:pic>
                    </a:graphicData>
                  </a:graphic>
                </wp:inline>
              </w:drawing>
            </w:r>
            <w:r>
              <w:rPr/>
              <w:t>Paid on Oct-05-12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393"/>
        <w:gridCol w:w="2847"/>
        <w:gridCol w:w="3394"/>
        <w:gridCol w:w="1431"/>
      </w:tblGrid>
      <w:tr>
        <w:trPr/>
        <w:tc>
          <w:tcPr>
            <w:tcW w:w="23" w:type="dxa"/>
            <w:tcBorders/>
            <w:shd w:fill="auto" w:val="clear"/>
            <w:vAlign w:val="center"/>
          </w:tcPr>
          <w:p>
            <w:pPr>
              <w:pStyle w:val="Normal"/>
              <w:snapToGrid w:val="false"/>
              <w:rPr/>
            </w:pPr>
            <w:r>
              <w:rPr/>
            </w:r>
          </w:p>
        </w:tc>
        <w:tc>
          <w:tcPr>
            <w:tcW w:w="3393" w:type="dxa"/>
            <w:tcBorders/>
            <w:shd w:fill="auto" w:val="clear"/>
          </w:tcPr>
          <w:p>
            <w:pPr>
              <w:pStyle w:val="Normal"/>
              <w:rPr/>
            </w:pPr>
            <w:hyperlink r:id="rId17" w:tgtFrame="_blank">
              <w:r>
                <w:rPr>
                  <w:rStyle w:val="InternetLink"/>
                  <w:b/>
                  <w:bCs/>
                </w:rPr>
                <w:t>Item Title:</w:t>
              </w:r>
              <w:r>
                <w:rPr>
                  <w:rStyle w:val="InternetLink"/>
                </w:rPr>
                <w:t xml:space="preserve">GOLD TONE METAL STATUE ASHANTE WARRIOR FROM GHANA AFRICA 14" TALL BASE 3 1/2" </w:t>
              </w:r>
              <w:r>
                <w:rPr>
                  <w:rStyle w:val="InternetLink"/>
                  <w:b/>
                  <w:bCs/>
                </w:rPr>
                <w:t>- opens in a new window or tab</w:t>
              </w:r>
            </w:hyperlink>
          </w:p>
          <w:p>
            <w:pPr>
              <w:pStyle w:val="Normal"/>
              <w:rPr/>
            </w:pPr>
            <w:r>
              <w:rPr>
                <w:b/>
                <w:bCs/>
              </w:rPr>
              <w:t>Item Id:</w:t>
            </w:r>
            <w:r>
              <w:rPr/>
              <w:t>220848329134 - Price: US $35.00</w:t>
            </w:r>
          </w:p>
          <w:p>
            <w:pPr>
              <w:pStyle w:val="Normal"/>
              <w:rPr/>
            </w:pPr>
            <w:r>
              <w:rPr/>
              <w:t>Quantity:</w:t>
            </w:r>
            <w:r>
              <w:rPr/>
              <w:drawing>
                <wp:inline distT="0" distB="0" distL="0" distR="0">
                  <wp:extent cx="15875" cy="1587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8"/>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9">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20"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21"/>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394" w:type="dxa"/>
            <w:tcBorders/>
            <w:shd w:fill="auto" w:val="clear"/>
            <w:vAlign w:val="center"/>
          </w:tcPr>
          <w:p>
            <w:pPr>
              <w:pStyle w:val="Normal"/>
              <w:rPr/>
            </w:pPr>
            <w:r>
              <w:rPr/>
              <w:t xml:space="preserve">Economy Shipping : </w:t>
            </w:r>
            <w:r>
              <w:rPr>
                <w:b/>
                <w:bCs/>
              </w:rPr>
              <w:t>US $15.00</w:t>
            </w:r>
          </w:p>
          <w:p>
            <w:pPr>
              <w:pStyle w:val="Normal"/>
              <w:rPr/>
            </w:pPr>
            <w:r>
              <w:rPr/>
              <w:t>USPS Parcel Post</w:t>
            </w:r>
            <w:r>
              <w:rPr>
                <w:vertAlign w:val="superscript"/>
              </w:rPr>
              <w:t>®</w:t>
            </w:r>
          </w:p>
          <w:p>
            <w:pPr>
              <w:pStyle w:val="Normal"/>
              <w:rPr/>
            </w:pPr>
            <w:r>
              <w:rPr/>
              <w:t>Estimated delivery: October 10 - October 17</w:t>
            </w:r>
          </w:p>
          <w:p>
            <w:pPr>
              <w:pStyle w:val="Normal"/>
              <w:rPr/>
            </w:pPr>
            <w:r>
              <w:rPr/>
              <w:t>Delivered: 10/09/12</w:t>
            </w:r>
          </w:p>
          <w:p>
            <w:pPr>
              <w:pStyle w:val="Normal"/>
              <w:rPr/>
            </w:pPr>
            <w:r>
              <w:rPr/>
              <w:br/>
            </w:r>
            <w:r>
              <w:rPr>
                <w:b/>
                <w:bCs/>
              </w:rPr>
              <w:t>Package 1 of 1</w:t>
            </w:r>
          </w:p>
          <w:p>
            <w:pPr>
              <w:pStyle w:val="Normal"/>
              <w:rPr/>
            </w:pPr>
            <w:r>
              <w:rPr/>
              <w:drawing>
                <wp:inline distT="0" distB="0" distL="0" distR="0">
                  <wp:extent cx="15875" cy="158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2"/>
                          <a:srcRect l="-5000" t="-5000" r="-5000" b="-5000"/>
                          <a:stretch>
                            <a:fillRect/>
                          </a:stretch>
                        </pic:blipFill>
                        <pic:spPr bwMode="auto">
                          <a:xfrm>
                            <a:off x="0" y="0"/>
                            <a:ext cx="15875" cy="15875"/>
                          </a:xfrm>
                          <a:prstGeom prst="rect">
                            <a:avLst/>
                          </a:prstGeom>
                        </pic:spPr>
                      </pic:pic>
                    </a:graphicData>
                  </a:graphic>
                </wp:inline>
              </w:drawing>
            </w:r>
          </w:p>
          <w:p>
            <w:pPr>
              <w:pStyle w:val="Normal"/>
              <w:rPr/>
            </w:pPr>
            <w:r>
              <w:rPr/>
              <w:t>Shipment details: </w:t>
            </w:r>
            <w:hyperlink r:id="rId23">
              <w:r>
                <w:rPr>
                  <w:rStyle w:val="InternetLink"/>
                </w:rPr>
                <w:t>9434609699938197420648</w:t>
              </w:r>
            </w:hyperlink>
          </w:p>
        </w:tc>
        <w:tc>
          <w:tcPr>
            <w:tcW w:w="1431" w:type="dxa"/>
            <w:tcBorders/>
            <w:shd w:fill="auto" w:val="clear"/>
            <w:vAlign w:val="center"/>
          </w:tcPr>
          <w:p>
            <w:pPr>
              <w:pStyle w:val="Normal"/>
              <w:jc w:val="end"/>
              <w:rPr/>
            </w:pPr>
            <w:r>
              <w:rPr/>
              <w:t>US $35.00</w:t>
            </w:r>
          </w:p>
        </w:tc>
      </w:tr>
    </w:tbl>
    <w:p>
      <w:pPr>
        <w:pStyle w:val="Normal"/>
        <w:rPr/>
      </w:pPr>
      <w:r>
        <w:rPr/>
        <w:drawing>
          <wp:inline distT="0" distB="0" distL="0" distR="0">
            <wp:extent cx="15875" cy="1587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4"/>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27"/>
        <w:gridCol w:w="2403"/>
        <w:gridCol w:w="2402"/>
        <w:gridCol w:w="5008"/>
        <w:gridCol w:w="848"/>
      </w:tblGrid>
      <w:tr>
        <w:trPr/>
        <w:tc>
          <w:tcPr>
            <w:tcW w:w="5232" w:type="dxa"/>
            <w:gridSpan w:val="3"/>
            <w:tcBorders/>
            <w:shd w:fill="auto" w:val="clear"/>
          </w:tcPr>
          <w:p>
            <w:pPr>
              <w:pStyle w:val="Normal"/>
              <w:snapToGrid w:val="false"/>
              <w:rPr/>
            </w:pPr>
            <w:r>
              <w:rPr/>
            </w:r>
          </w:p>
        </w:tc>
        <w:tc>
          <w:tcPr>
            <w:tcW w:w="5856" w:type="dxa"/>
            <w:gridSpan w:val="2"/>
            <w:tcBorders/>
            <w:shd w:fill="auto" w:val="clear"/>
          </w:tcPr>
          <w:p>
            <w:pPr>
              <w:pStyle w:val="Normal"/>
              <w:snapToGrid w:val="false"/>
              <w:jc w:val="end"/>
              <w:rPr/>
            </w:pPr>
            <w:r>
              <w:rPr/>
            </w:r>
          </w:p>
        </w:tc>
      </w:tr>
      <w:tr>
        <w:trPr/>
        <w:tc>
          <w:tcPr>
            <w:tcW w:w="427" w:type="dxa"/>
            <w:tcBorders/>
            <w:shd w:fill="auto" w:val="clear"/>
            <w:tcMar>
              <w:top w:w="0" w:type="dxa"/>
              <w:start w:w="0" w:type="dxa"/>
              <w:bottom w:w="0" w:type="dxa"/>
              <w:end w:w="0" w:type="dxa"/>
            </w:tcMar>
          </w:tcPr>
          <w:p>
            <w:pPr>
              <w:pStyle w:val="Normal"/>
              <w:rPr>
                <w:sz w:val="20"/>
                <w:szCs w:val="20"/>
              </w:rPr>
            </w:pPr>
            <w:r>
              <w:rPr>
                <w:sz w:val="20"/>
                <w:szCs w:val="20"/>
              </w:rPr>
            </w:r>
          </w:p>
        </w:tc>
        <w:tc>
          <w:tcPr>
            <w:tcW w:w="240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7410"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7410"/>
            </w:tblGrid>
            <w:tr>
              <w:trPr/>
              <w:tc>
                <w:tcPr>
                  <w:tcW w:w="7410" w:type="dxa"/>
                  <w:tcBorders/>
                  <w:shd w:fill="auto" w:val="clear"/>
                  <w:vAlign w:val="center"/>
                </w:tcPr>
                <w:tbl>
                  <w:tblPr>
                    <w:tblW w:w="3258" w:type="dxa"/>
                    <w:jc w:val="start"/>
                    <w:tblInd w:w="0" w:type="dxa"/>
                    <w:tblBorders/>
                    <w:tblCellMar>
                      <w:top w:w="0" w:type="dxa"/>
                      <w:start w:w="0" w:type="dxa"/>
                      <w:bottom w:w="0" w:type="dxa"/>
                      <w:end w:w="0" w:type="dxa"/>
                    </w:tblCellMar>
                  </w:tblPr>
                  <w:tblGrid>
                    <w:gridCol w:w="3258"/>
                  </w:tblGrid>
                  <w:tr>
                    <w:trPr>
                      <w:tblHeader w:val="true"/>
                    </w:trPr>
                    <w:tc>
                      <w:tcPr>
                        <w:tcW w:w="3258" w:type="dxa"/>
                        <w:tcBorders/>
                        <w:shd w:fill="auto" w:val="clear"/>
                        <w:vAlign w:val="center"/>
                      </w:tcPr>
                      <w:p>
                        <w:pPr>
                          <w:pStyle w:val="Normal"/>
                          <w:snapToGrid w:val="false"/>
                          <w:rPr/>
                        </w:pPr>
                        <w:r>
                          <w:rPr/>
                        </w:r>
                      </w:p>
                    </w:tc>
                  </w:tr>
                  <w:tr>
                    <w:trPr/>
                    <w:tc>
                      <w:tcPr>
                        <w:tcW w:w="325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258"/>
                        </w:tblGrid>
                        <w:tr>
                          <w:trPr/>
                          <w:tc>
                            <w:tcPr>
                              <w:tcW w:w="325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102"/>
                              </w:tblGrid>
                              <w:tr>
                                <w:trPr/>
                                <w:tc>
                                  <w:tcPr>
                                    <w:tcW w:w="2156" w:type="dxa"/>
                                    <w:tcBorders/>
                                    <w:shd w:fill="auto" w:val="clear"/>
                                    <w:vAlign w:val="center"/>
                                  </w:tcPr>
                                  <w:p>
                                    <w:pPr>
                                      <w:pStyle w:val="Normal"/>
                                      <w:jc w:val="end"/>
                                      <w:rPr/>
                                    </w:pPr>
                                    <w:r>
                                      <w:rPr/>
                                      <w:t>Subtotal:</w:t>
                                    </w:r>
                                  </w:p>
                                </w:tc>
                                <w:tc>
                                  <w:tcPr>
                                    <w:tcW w:w="1102" w:type="dxa"/>
                                    <w:tcBorders/>
                                    <w:shd w:fill="auto" w:val="clear"/>
                                    <w:vAlign w:val="center"/>
                                  </w:tcPr>
                                  <w:p>
                                    <w:pPr>
                                      <w:pStyle w:val="Normal"/>
                                      <w:jc w:val="end"/>
                                      <w:rPr/>
                                    </w:pPr>
                                    <w:r>
                                      <w:rPr/>
                                      <w:t>US $35.00</w:t>
                                    </w:r>
                                  </w:p>
                                </w:tc>
                              </w:tr>
                              <w:tr>
                                <w:trPr/>
                                <w:tc>
                                  <w:tcPr>
                                    <w:tcW w:w="3258" w:type="dxa"/>
                                    <w:gridSpan w:val="2"/>
                                    <w:tcBorders/>
                                    <w:shd w:fill="auto" w:val="clear"/>
                                    <w:vAlign w:val="center"/>
                                  </w:tcPr>
                                  <w:p>
                                    <w:pPr>
                                      <w:pStyle w:val="Normal"/>
                                      <w:rPr/>
                                    </w:pPr>
                                    <w:r>
                                      <w:rPr/>
                                      <w:drawing>
                                        <wp:inline distT="0" distB="0" distL="0" distR="0">
                                          <wp:extent cx="15875" cy="1587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25"/>
                                                  <a:srcRect l="-5000" t="-5000" r="-5000" b="-5000"/>
                                                  <a:stretch>
                                                    <a:fillRect/>
                                                  </a:stretch>
                                                </pic:blipFill>
                                                <pic:spPr bwMode="auto">
                                                  <a:xfrm>
                                                    <a:off x="0" y="0"/>
                                                    <a:ext cx="15875" cy="1587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102" w:type="dxa"/>
                                    <w:tcBorders/>
                                    <w:shd w:fill="auto" w:val="clear"/>
                                    <w:vAlign w:val="center"/>
                                  </w:tcPr>
                                  <w:p>
                                    <w:pPr>
                                      <w:pStyle w:val="Normal"/>
                                      <w:jc w:val="end"/>
                                      <w:rPr/>
                                    </w:pPr>
                                    <w:r>
                                      <w:rPr/>
                                      <w:t>US $15.00</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26"/>
                                                  <a:srcRect l="-5000" t="-5000" r="-5000" b="-5000"/>
                                                  <a:stretch>
                                                    <a:fillRect/>
                                                  </a:stretch>
                                                </pic:blipFill>
                                                <pic:spPr bwMode="auto">
                                                  <a:xfrm>
                                                    <a:off x="0" y="0"/>
                                                    <a:ext cx="46355" cy="46355"/>
                                                  </a:xfrm>
                                                  <a:prstGeom prst="rect">
                                                    <a:avLst/>
                                                  </a:prstGeom>
                                                </pic:spPr>
                                              </pic:pic>
                                            </a:graphicData>
                                          </a:graphic>
                                        </wp:inline>
                                      </w:drawing>
                                    </w:r>
                                  </w:p>
                                </w:tc>
                              </w:tr>
                              <w:tr>
                                <w:trPr/>
                                <w:tc>
                                  <w:tcPr>
                                    <w:tcW w:w="3258" w:type="dxa"/>
                                    <w:gridSpan w:val="2"/>
                                    <w:tcBorders/>
                                    <w:shd w:fill="auto" w:val="clear"/>
                                    <w:vAlign w:val="center"/>
                                  </w:tcPr>
                                  <w:p>
                                    <w:pPr>
                                      <w:pStyle w:val="Normal"/>
                                      <w:snapToGrid w:val="false"/>
                                      <w:rPr>
                                        <w:sz w:val="20"/>
                                        <w:szCs w:val="20"/>
                                      </w:rPr>
                                    </w:pPr>
                                    <w:r>
                                      <w:rPr>
                                        <w:sz w:val="20"/>
                                        <w:szCs w:val="20"/>
                                      </w:rPr>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27"/>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102" w:type="dxa"/>
                                    <w:tcBorders/>
                                    <w:shd w:fill="auto" w:val="clear"/>
                                    <w:vAlign w:val="center"/>
                                  </w:tcPr>
                                  <w:p>
                                    <w:pPr>
                                      <w:pStyle w:val="Normal"/>
                                      <w:jc w:val="end"/>
                                      <w:rPr/>
                                    </w:pPr>
                                    <w:r>
                                      <w:rPr/>
                                      <w:t>US $50.00</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848"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jstor.org.libproxy.mit.edu/action/doBasicSearch?Query=au%3A&quot;Peter+Kwasi+Sarpong&quot;&amp;wc=on" TargetMode="External"/><Relationship Id="rId5" Type="http://schemas.openxmlformats.org/officeDocument/2006/relationships/hyperlink" Target="http://www.jstor.org.libproxy.mit.edu/stable/40456847?&amp;Search=yes&amp;searchText=&quot;Sese+tree&quot;&amp;list=hide&amp;searchUri=%2Faction%2FdoBasicSearch%3FQuery%3D%2522Sese%2Btree%2522%26gw%3Djtx%26acc%3Don%26prq%3D%2522Sese%2B%2522%26Search%3DSearch%26hp%3D25%26wc%3Don&amp;prevSearch=&amp;item=1&amp;ttl=1&amp;returnArticleService=showFullText" TargetMode="External"/><Relationship Id="rId6" Type="http://schemas.openxmlformats.org/officeDocument/2006/relationships/hyperlink" Target="http://www.jstor.org.libproxy.mit.edu/action/doBasicSearch?Query=au%3A&quot;Peter+Kwasi+Sarpong&quot;&amp;wc=on" TargetMode="External"/><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payments.ebay.com/ws/eBayISAPI.dll?ViewPaymentStatus&amp;transid=1069309569012&amp;userloginid=802-867&amp;printerversion=true&amp;itemid=220848329134" TargetMode="External"/><Relationship Id="rId11" Type="http://schemas.openxmlformats.org/officeDocument/2006/relationships/hyperlink" Target="http://myworld.ebay.com/hcarey" TargetMode="External"/><Relationship Id="rId12" Type="http://schemas.openxmlformats.org/officeDocument/2006/relationships/hyperlink" Target="http://feedback.ebay.com/ws/eBayISAPI.dll?ViewFeedback&amp;userid=hcarey"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contact.ebay.com/ws/eBayISAPI.dll?ShowCoreAskSellerQuestion&amp;frm=3998&amp;iid=220848329134&amp;redirect=0&amp;requested=hcarey" TargetMode="External"/><Relationship Id="rId16" Type="http://schemas.openxmlformats.org/officeDocument/2006/relationships/image" Target="media/image8.png"/><Relationship Id="rId17" Type="http://schemas.openxmlformats.org/officeDocument/2006/relationships/hyperlink" Target="http://cgi.ebay.com/ws/eBayISAPI.dll?ViewItem&amp;item=220848329134" TargetMode="External"/><Relationship Id="rId18" Type="http://schemas.openxmlformats.org/officeDocument/2006/relationships/image" Target="media/image9.png"/><Relationship Id="rId19" Type="http://schemas.openxmlformats.org/officeDocument/2006/relationships/hyperlink" Target="javascript:;" TargetMode="External"/><Relationship Id="rId20" Type="http://schemas.openxmlformats.org/officeDocument/2006/relationships/hyperlink" Target="http://feedback.ebay.com/ws/eBayISAPI.dll?LeaveFeedbackShow&amp;useridfrom=802-867&amp;useridto=hcarey&amp;item=220848329134&amp;transactid=1069309569012"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javascript:;"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2018-07-13T05:22:00Z</dcterms:created>
  <dc:creator>USER</dc:creator>
  <dc:description/>
  <cp:keywords/>
  <dc:language>en-US</dc:language>
  <cp:lastModifiedBy>Ralph Coffman</cp:lastModifiedBy>
  <cp:lastPrinted>2013-02-15T15:21:00Z</cp:lastPrinted>
  <dcterms:modified xsi:type="dcterms:W3CDTF">2018-07-13T05:22:00Z</dcterms:modified>
  <cp:revision>2</cp:revision>
  <dc:subject/>
  <dc:title>Mask-Afr-Ashanti-Male holding Stool</dc:title>
</cp:coreProperties>
</file>