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A000-Afr-Mali-Mermaid-Sorko-Soprokawa-Bronze-Early 20</w:t>
      </w:r>
      <w:r>
        <w:rPr>
          <w:vertAlign w:val="superscript"/>
        </w:rPr>
        <w:t>th</w:t>
      </w:r>
      <w:r>
        <w:rPr/>
        <w:t xml:space="preserve"> c</w:t>
      </w:r>
    </w:p>
    <w:p>
      <w:pPr>
        <w:pStyle w:val="Normal"/>
        <w:rPr/>
      </w:pPr>
      <w:r>
        <w:rPr/>
      </w:r>
    </w:p>
    <w:p>
      <w:pPr>
        <w:pStyle w:val="Normal"/>
        <w:rPr/>
      </w:pPr>
      <w:r>
        <w:rPr/>
        <w:drawing>
          <wp:inline distT="0" distB="0" distL="0" distR="0">
            <wp:extent cx="3600450" cy="37979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12" r="-13" b="-12"/>
                    <a:stretch>
                      <a:fillRect/>
                    </a:stretch>
                  </pic:blipFill>
                  <pic:spPr bwMode="auto">
                    <a:xfrm>
                      <a:off x="0" y="0"/>
                      <a:ext cx="3600450" cy="3797935"/>
                    </a:xfrm>
                    <a:prstGeom prst="rect">
                      <a:avLst/>
                    </a:prstGeom>
                  </pic:spPr>
                </pic:pic>
              </a:graphicData>
            </a:graphic>
          </wp:inline>
        </w:drawing>
      </w:r>
      <w:r>
        <w:rPr/>
        <w:drawing>
          <wp:inline distT="0" distB="0" distL="0" distR="0">
            <wp:extent cx="3033395" cy="38252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5" r="-7" b="-5"/>
                    <a:stretch>
                      <a:fillRect/>
                    </a:stretch>
                  </pic:blipFill>
                  <pic:spPr bwMode="auto">
                    <a:xfrm>
                      <a:off x="0" y="0"/>
                      <a:ext cx="3033395" cy="3825240"/>
                    </a:xfrm>
                    <a:prstGeom prst="rect">
                      <a:avLst/>
                    </a:prstGeom>
                  </pic:spPr>
                </pic:pic>
              </a:graphicData>
            </a:graphic>
          </wp:inline>
        </w:drawing>
      </w:r>
    </w:p>
    <w:p>
      <w:pPr>
        <w:pStyle w:val="Normal"/>
        <w:rPr/>
      </w:pPr>
      <w:r>
        <w:rPr/>
        <w:drawing>
          <wp:inline distT="0" distB="0" distL="0" distR="0">
            <wp:extent cx="6638925" cy="83534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5" r="-7" b="-5"/>
                    <a:stretch>
                      <a:fillRect/>
                    </a:stretch>
                  </pic:blipFill>
                  <pic:spPr bwMode="auto">
                    <a:xfrm>
                      <a:off x="0" y="0"/>
                      <a:ext cx="6638925" cy="8353425"/>
                    </a:xfrm>
                    <a:prstGeom prst="rect">
                      <a:avLst/>
                    </a:prstGeom>
                  </pic:spPr>
                </pic:pic>
              </a:graphicData>
            </a:graphic>
          </wp:inline>
        </w:drawing>
      </w:r>
    </w:p>
    <w:p>
      <w:pPr>
        <w:pStyle w:val="Normal"/>
        <w:rPr/>
      </w:pPr>
      <w:r>
        <w:rPr/>
        <w:drawing>
          <wp:inline distT="0" distB="0" distL="0" distR="0">
            <wp:extent cx="3276600" cy="71628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4" t="-6" r="-14" b="-6"/>
                    <a:stretch>
                      <a:fillRect/>
                    </a:stretch>
                  </pic:blipFill>
                  <pic:spPr bwMode="auto">
                    <a:xfrm>
                      <a:off x="0" y="0"/>
                      <a:ext cx="3276600" cy="7162800"/>
                    </a:xfrm>
                    <a:prstGeom prst="rect">
                      <a:avLst/>
                    </a:prstGeom>
                  </pic:spPr>
                </pic:pic>
              </a:graphicData>
            </a:graphic>
          </wp:inline>
        </w:drawing>
      </w:r>
    </w:p>
    <w:p>
      <w:pPr>
        <w:pStyle w:val="Normal"/>
        <w:rPr>
          <w:rFonts w:ascii="Garamond" w:hAnsi="Garamond" w:cs="Garamond"/>
        </w:rPr>
      </w:pPr>
      <w:r>
        <w:rPr>
          <w:rFonts w:cs="Garamond" w:ascii="Garamond" w:hAnsi="Garamond"/>
        </w:rPr>
      </w:r>
    </w:p>
    <w:p>
      <w:pPr>
        <w:pStyle w:val="Normal"/>
        <w:rPr>
          <w:rFonts w:ascii="Garamond" w:hAnsi="Garamond" w:cs="Garamond"/>
        </w:rPr>
      </w:pPr>
      <w:r>
        <w:rPr>
          <w:rFonts w:cs="Garamond" w:ascii="Garamond" w:hAnsi="Garamond"/>
        </w:rPr>
      </w:r>
    </w:p>
    <w:p>
      <w:pPr>
        <w:pStyle w:val="Normal"/>
        <w:rPr/>
      </w:pPr>
      <w:r>
        <w:rPr/>
      </w:r>
    </w:p>
    <w:p>
      <w:pPr>
        <w:pStyle w:val="Normal"/>
        <w:rPr/>
      </w:pPr>
      <w:r>
        <w:rPr/>
        <w:drawing>
          <wp:inline distT="0" distB="0" distL="0" distR="0">
            <wp:extent cx="8620125" cy="42291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11" r="-5" b="-11"/>
                    <a:stretch>
                      <a:fillRect/>
                    </a:stretch>
                  </pic:blipFill>
                  <pic:spPr bwMode="auto">
                    <a:xfrm>
                      <a:off x="0" y="0"/>
                      <a:ext cx="8620125" cy="4229100"/>
                    </a:xfrm>
                    <a:prstGeom prst="rect">
                      <a:avLst/>
                    </a:prstGeom>
                  </pic:spPr>
                </pic:pic>
              </a:graphicData>
            </a:graphic>
          </wp:inline>
        </w:drawing>
      </w:r>
      <w:r>
        <w:rPr>
          <w:rFonts w:eastAsia="Times New Roman"/>
        </w:rPr>
        <w:t xml:space="preserve"> </w:t>
      </w:r>
      <w:r>
        <w:rPr/>
        <w:drawing>
          <wp:inline distT="0" distB="0" distL="0" distR="0">
            <wp:extent cx="6827520" cy="364871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5" t="-10" r="-5" b="-10"/>
                    <a:stretch>
                      <a:fillRect/>
                    </a:stretch>
                  </pic:blipFill>
                  <pic:spPr bwMode="auto">
                    <a:xfrm>
                      <a:off x="0" y="0"/>
                      <a:ext cx="6827520" cy="3648710"/>
                    </a:xfrm>
                    <a:prstGeom prst="rect">
                      <a:avLst/>
                    </a:prstGeom>
                  </pic:spPr>
                </pic:pic>
              </a:graphicData>
            </a:graphic>
          </wp:inline>
        </w:drawing>
      </w:r>
      <w:r>
        <w:rPr>
          <w:rFonts w:eastAsia="Times New Roman"/>
        </w:rPr>
        <w:t xml:space="preserve"> </w:t>
      </w:r>
      <w:r>
        <w:rPr/>
        <w:drawing>
          <wp:inline distT="0" distB="0" distL="0" distR="0">
            <wp:extent cx="4362450" cy="55149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11" t="-8" r="-11" b="-8"/>
                    <a:stretch>
                      <a:fillRect/>
                    </a:stretch>
                  </pic:blipFill>
                  <pic:spPr bwMode="auto">
                    <a:xfrm>
                      <a:off x="0" y="0"/>
                      <a:ext cx="4362450" cy="5514975"/>
                    </a:xfrm>
                    <a:prstGeom prst="rect">
                      <a:avLst/>
                    </a:prstGeom>
                  </pic:spPr>
                </pic:pic>
              </a:graphicData>
            </a:graphic>
          </wp:inline>
        </w:drawing>
      </w:r>
      <w:r>
        <w:rPr>
          <w:rFonts w:eastAsia="Times New Roman"/>
        </w:rPr>
        <w:t xml:space="preserve"> </w:t>
      </w:r>
      <w:r>
        <w:rPr/>
        <w:drawing>
          <wp:inline distT="0" distB="0" distL="0" distR="0">
            <wp:extent cx="2771775" cy="840105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17" t="-5" r="-17" b="-5"/>
                    <a:stretch>
                      <a:fillRect/>
                    </a:stretch>
                  </pic:blipFill>
                  <pic:spPr bwMode="auto">
                    <a:xfrm>
                      <a:off x="0" y="0"/>
                      <a:ext cx="2771775" cy="8401050"/>
                    </a:xfrm>
                    <a:prstGeom prst="rect">
                      <a:avLst/>
                    </a:prstGeom>
                  </pic:spPr>
                </pic:pic>
              </a:graphicData>
            </a:graphic>
          </wp:inline>
        </w:drawing>
      </w:r>
    </w:p>
    <w:p>
      <w:pPr>
        <w:pStyle w:val="Normal"/>
        <w:rPr/>
      </w:pPr>
      <w:r>
        <w:rPr/>
        <w:t>Figs. 1-8. Afr-Mali-Mermaid-Sorko-Soprokawa-Bronze-Early 20</w:t>
      </w:r>
      <w:r>
        <w:rPr>
          <w:vertAlign w:val="superscript"/>
        </w:rPr>
        <w:t>th</w:t>
      </w:r>
      <w:r>
        <w:rPr/>
        <w:t xml:space="preserve"> c</w:t>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Afr-Mali-Mermaid-Sorko-Soprokawa-Bronze-Early 20</w:t>
      </w:r>
      <w:r>
        <w:rPr>
          <w:vertAlign w:val="superscript"/>
        </w:rPr>
        <w:t>th</w:t>
      </w:r>
      <w:r>
        <w:rPr/>
        <w:t xml:space="preserve"> c</w:t>
      </w:r>
    </w:p>
    <w:p>
      <w:pPr>
        <w:pStyle w:val="Normal"/>
        <w:rPr/>
      </w:pPr>
      <w:r>
        <w:rPr>
          <w:b/>
        </w:rPr>
        <w:t xml:space="preserve">Display Description: </w:t>
      </w:r>
    </w:p>
    <w:p>
      <w:pPr>
        <w:pStyle w:val="Normal"/>
        <w:rPr/>
      </w:pPr>
      <w:r>
        <w:rPr>
          <w:b/>
        </w:rPr>
        <w:tab/>
      </w:r>
      <w:r>
        <w:rPr/>
        <w:t xml:space="preserve">Semi-nude figure with fish tail probably made from a model from Sherbo, Sierra Leone, but produced by the Bozo People along the Niger River in Mali by the lost wax process. </w:t>
      </w:r>
    </w:p>
    <w:p>
      <w:pPr>
        <w:pStyle w:val="Normal"/>
        <w:rPr>
          <w:rStyle w:val="Citationbook"/>
        </w:rPr>
      </w:pPr>
      <w:r>
        <w:rPr>
          <w:rStyle w:val="Citationbook"/>
        </w:rPr>
        <w:tab/>
        <w:t xml:space="preserve">The </w:t>
      </w:r>
      <w:r>
        <w:rPr>
          <w:rStyle w:val="Hps"/>
          <w:lang w:val="en"/>
        </w:rPr>
        <w:t>Sorko</w:t>
      </w:r>
      <w:r>
        <w:rPr>
          <w:rStyle w:val="Hpsatn"/>
          <w:lang w:val="en"/>
        </w:rPr>
        <w:t xml:space="preserve">, </w:t>
      </w:r>
      <w:r>
        <w:rPr>
          <w:lang w:val="en"/>
        </w:rPr>
        <w:t xml:space="preserve">Sorokawa (also Bozo) are </w:t>
      </w:r>
      <w:r>
        <w:rPr>
          <w:rStyle w:val="Hps"/>
          <w:lang w:val="en"/>
        </w:rPr>
        <w:t>a people of</w:t>
      </w:r>
      <w:r>
        <w:rPr>
          <w:lang w:val="en"/>
        </w:rPr>
        <w:t xml:space="preserve"> </w:t>
      </w:r>
      <w:r>
        <w:rPr>
          <w:rStyle w:val="Hps"/>
          <w:lang w:val="en"/>
        </w:rPr>
        <w:t>West Africa</w:t>
      </w:r>
      <w:r>
        <w:rPr>
          <w:lang w:val="en"/>
        </w:rPr>
        <w:t xml:space="preserve"> </w:t>
      </w:r>
      <w:r>
        <w:rPr>
          <w:rStyle w:val="Hps"/>
          <w:lang w:val="en"/>
        </w:rPr>
        <w:t>living mainly in</w:t>
      </w:r>
      <w:r>
        <w:rPr>
          <w:lang w:val="en"/>
        </w:rPr>
        <w:t xml:space="preserve"> </w:t>
      </w:r>
      <w:r>
        <w:rPr>
          <w:rStyle w:val="Hps"/>
          <w:lang w:val="en"/>
        </w:rPr>
        <w:t>the Niger valley</w:t>
      </w:r>
      <w:r>
        <w:rPr>
          <w:lang w:val="en"/>
        </w:rPr>
        <w:t xml:space="preserve"> </w:t>
      </w:r>
      <w:r>
        <w:rPr>
          <w:rStyle w:val="Hps"/>
          <w:lang w:val="en"/>
        </w:rPr>
        <w:t>and</w:t>
      </w:r>
      <w:r>
        <w:rPr>
          <w:lang w:val="en"/>
        </w:rPr>
        <w:t xml:space="preserve"> </w:t>
      </w:r>
      <w:r>
        <w:rPr>
          <w:rStyle w:val="Hps"/>
          <w:lang w:val="en"/>
        </w:rPr>
        <w:t>near the ponds.</w:t>
      </w:r>
      <w:r>
        <w:rPr>
          <w:lang w:val="en"/>
        </w:rPr>
        <w:t xml:space="preserve"> </w:t>
      </w:r>
      <w:r>
        <w:rPr>
          <w:rStyle w:val="Hps"/>
          <w:lang w:val="en"/>
        </w:rPr>
        <w:t>The</w:t>
      </w:r>
      <w:r>
        <w:rPr>
          <w:lang w:val="en"/>
        </w:rPr>
        <w:t xml:space="preserve"> </w:t>
      </w:r>
      <w:r>
        <w:rPr>
          <w:rStyle w:val="Hps"/>
          <w:lang w:val="en"/>
        </w:rPr>
        <w:t>Sorko</w:t>
      </w:r>
      <w:r>
        <w:rPr>
          <w:lang w:val="en"/>
        </w:rPr>
        <w:t xml:space="preserve"> </w:t>
      </w:r>
      <w:r>
        <w:rPr>
          <w:rStyle w:val="Hps"/>
          <w:lang w:val="en"/>
        </w:rPr>
        <w:t>are</w:t>
      </w:r>
      <w:r>
        <w:rPr>
          <w:lang w:val="en"/>
        </w:rPr>
        <w:t xml:space="preserve"> </w:t>
      </w:r>
      <w:r>
        <w:rPr>
          <w:rStyle w:val="Hps"/>
          <w:lang w:val="en"/>
        </w:rPr>
        <w:t>a component of the</w:t>
      </w:r>
      <w:r>
        <w:rPr>
          <w:lang w:val="en"/>
        </w:rPr>
        <w:t xml:space="preserve"> </w:t>
      </w:r>
      <w:r>
        <w:rPr>
          <w:rStyle w:val="Hps"/>
          <w:lang w:val="en"/>
        </w:rPr>
        <w:t>Songhai</w:t>
      </w:r>
      <w:r>
        <w:rPr>
          <w:lang w:val="en"/>
        </w:rPr>
        <w:t xml:space="preserve"> (Songye) </w:t>
      </w:r>
      <w:r>
        <w:rPr>
          <w:rStyle w:val="Hps"/>
          <w:lang w:val="en"/>
        </w:rPr>
        <w:t>people</w:t>
      </w:r>
      <w:r>
        <w:rPr>
          <w:lang w:val="en"/>
        </w:rPr>
        <w:t xml:space="preserve">. </w:t>
      </w:r>
      <w:r>
        <w:rPr>
          <w:rStyle w:val="Citationbook"/>
        </w:rPr>
        <w:t xml:space="preserve">Their alternative name, Bozo, is thought to derive from </w:t>
      </w:r>
      <w:hyperlink r:id="rId10">
        <w:r>
          <w:rPr>
            <w:rStyle w:val="Citationbook"/>
          </w:rPr>
          <w:t>Bambara</w:t>
        </w:r>
      </w:hyperlink>
      <w:r>
        <w:rPr>
          <w:rStyle w:val="Citationbook"/>
        </w:rPr>
        <w:t xml:space="preserve"> bo-so, 'Bamboo house'; the people accept it as referring to the whole of the ethnic group but they refer to themselves with more specific clan names such as Sorogoye, Hain, and Tieye. </w:t>
      </w:r>
      <w:r>
        <w:rPr>
          <w:rStyle w:val="Hps"/>
          <w:lang w:val="en"/>
        </w:rPr>
        <w:t>Sorko</w:t>
      </w:r>
      <w:r>
        <w:rPr>
          <w:rStyle w:val="Citationbook"/>
        </w:rPr>
        <w:t xml:space="preserve"> culture took shape under the 10th century Ghana Empire, when the </w:t>
      </w:r>
      <w:r>
        <w:rPr>
          <w:rStyle w:val="Hps"/>
          <w:lang w:val="en"/>
        </w:rPr>
        <w:t>Sorko</w:t>
      </w:r>
      <w:r>
        <w:rPr>
          <w:rStyle w:val="Citationbook"/>
        </w:rPr>
        <w:t xml:space="preserve"> took possession of the banks of the Niger and established the Malian cities of </w:t>
      </w:r>
      <w:hyperlink r:id="rId11">
        <w:r>
          <w:rPr>
            <w:rStyle w:val="Citationbook"/>
          </w:rPr>
          <w:t>Djenné</w:t>
        </w:r>
      </w:hyperlink>
      <w:r>
        <w:rPr>
          <w:rStyle w:val="Citationbook"/>
        </w:rPr>
        <w:t xml:space="preserve"> and </w:t>
      </w:r>
      <w:hyperlink r:id="rId12">
        <w:r>
          <w:rPr>
            <w:rStyle w:val="Citationbook"/>
          </w:rPr>
          <w:t>Mopti</w:t>
        </w:r>
      </w:hyperlink>
      <w:r>
        <w:rPr>
          <w:rStyle w:val="Citationbook"/>
        </w:rPr>
        <w:t>.</w:t>
      </w:r>
    </w:p>
    <w:p>
      <w:pPr>
        <w:pStyle w:val="Normal"/>
        <w:rPr>
          <w:rStyle w:val="Citationbook"/>
        </w:rPr>
      </w:pPr>
      <w:r>
        <w:rPr>
          <w:rStyle w:val="Citationbook"/>
        </w:rPr>
        <w:tab/>
        <w:t xml:space="preserve">They are famous for their </w:t>
      </w:r>
      <w:hyperlink r:id="rId13">
        <w:r>
          <w:rPr>
            <w:rStyle w:val="Citationbook"/>
          </w:rPr>
          <w:t>fishing</w:t>
        </w:r>
      </w:hyperlink>
      <w:r>
        <w:rPr>
          <w:rStyle w:val="Citationbook"/>
        </w:rPr>
        <w:t xml:space="preserve"> and are occasionally referred to as the "masters of the river." </w:t>
      </w:r>
      <w:r>
        <w:rPr>
          <w:rStyle w:val="Hps"/>
          <w:lang w:val="en"/>
        </w:rPr>
        <w:t>The</w:t>
      </w:r>
      <w:r>
        <w:rPr>
          <w:lang w:val="en"/>
        </w:rPr>
        <w:t xml:space="preserve"> </w:t>
      </w:r>
      <w:r>
        <w:rPr>
          <w:rStyle w:val="Hps"/>
          <w:lang w:val="en"/>
        </w:rPr>
        <w:t>Sorko</w:t>
      </w:r>
      <w:r>
        <w:rPr>
          <w:lang w:val="en"/>
        </w:rPr>
        <w:t xml:space="preserve"> </w:t>
      </w:r>
      <w:r>
        <w:rPr>
          <w:rStyle w:val="Hps"/>
          <w:lang w:val="en"/>
        </w:rPr>
        <w:t>are</w:t>
      </w:r>
      <w:r>
        <w:rPr>
          <w:lang w:val="en"/>
        </w:rPr>
        <w:t xml:space="preserve"> also </w:t>
      </w:r>
      <w:r>
        <w:rPr>
          <w:rStyle w:val="Hps"/>
          <w:lang w:val="en"/>
        </w:rPr>
        <w:t>hunters</w:t>
      </w:r>
      <w:r>
        <w:rPr>
          <w:lang w:val="en"/>
        </w:rPr>
        <w:t xml:space="preserve"> of </w:t>
      </w:r>
      <w:r>
        <w:rPr>
          <w:rStyle w:val="Hps"/>
          <w:lang w:val="en"/>
        </w:rPr>
        <w:t>hippos</w:t>
      </w:r>
      <w:r>
        <w:rPr>
          <w:lang w:val="en"/>
        </w:rPr>
        <w:t xml:space="preserve"> and crocodiles</w:t>
      </w:r>
      <w:r>
        <w:rPr>
          <w:rStyle w:val="Hps"/>
          <w:lang w:val="en"/>
        </w:rPr>
        <w:t>. Their traditional religion is known as Holey</w:t>
      </w:r>
      <w:r>
        <w:rPr>
          <w:lang w:val="en"/>
        </w:rPr>
        <w:t>.</w:t>
      </w:r>
      <w:r>
        <w:rPr>
          <w:rStyle w:val="Citationbook"/>
        </w:rPr>
        <w:t xml:space="preserve"> </w:t>
      </w:r>
    </w:p>
    <w:p>
      <w:pPr>
        <w:pStyle w:val="Normal"/>
        <w:rPr/>
      </w:pPr>
      <w:r>
        <w:rPr>
          <w:rStyle w:val="Citationbook"/>
        </w:rPr>
        <w:tab/>
        <w:t>This semi-</w:t>
      </w:r>
      <w:r>
        <w:rPr/>
        <w:t>nude figure with fish tail was probably made from a model from Sherbo, Sierra Leone, but was produced by the Bozo People along the Niger River in Mali by the lost wax process. This indigenous origin of the "mermaid" figure is summarized by Norman Fraser (1972: 278): "This three important canons of art-historical authenticity (degrees of centrality to the culture, agreement with local style, and duration as shown by the breadth of dispersal and functional differentiation) strongly indicate that the fish-legged figure in Nigeria predates the advent of the Portuguese in West Africa."</w:t>
      </w:r>
    </w:p>
    <w:p>
      <w:pPr>
        <w:pStyle w:val="Normal"/>
        <w:rPr>
          <w:b/>
          <w:b/>
        </w:rPr>
      </w:pPr>
      <w:r>
        <w:rPr>
          <w:b/>
        </w:rPr>
        <w:t xml:space="preserve">Accession Number: </w:t>
      </w:r>
    </w:p>
    <w:p>
      <w:pPr>
        <w:pStyle w:val="Normal"/>
        <w:rPr>
          <w:b/>
          <w:b/>
        </w:rPr>
      </w:pPr>
      <w:r>
        <w:rPr>
          <w:b/>
        </w:rPr>
        <w:t>LC Classification:</w:t>
      </w:r>
    </w:p>
    <w:p>
      <w:pPr>
        <w:pStyle w:val="Normal"/>
        <w:rPr>
          <w:b/>
          <w:b/>
        </w:rPr>
      </w:pPr>
      <w:r>
        <w:rPr>
          <w:b/>
        </w:rPr>
        <w:t>Date or Time Horizon: Early 20</w:t>
      </w:r>
      <w:r>
        <w:rPr>
          <w:b/>
          <w:vertAlign w:val="superscript"/>
        </w:rPr>
        <w:t>th</w:t>
      </w:r>
      <w:r>
        <w:rPr>
          <w:b/>
        </w:rPr>
        <w:t xml:space="preserve"> c</w:t>
      </w:r>
    </w:p>
    <w:p>
      <w:pPr>
        <w:pStyle w:val="Normal"/>
        <w:rPr>
          <w:b/>
          <w:b/>
        </w:rPr>
      </w:pPr>
      <w:r>
        <w:rPr>
          <w:b/>
        </w:rPr>
        <w:t xml:space="preserve">Geographical Area: </w:t>
      </w:r>
      <w:r>
        <w:rPr/>
        <w:t>the Niger River in Mali</w:t>
      </w:r>
    </w:p>
    <w:p>
      <w:pPr>
        <w:pStyle w:val="Normal"/>
        <w:rPr>
          <w:b/>
          <w:b/>
        </w:rPr>
      </w:pPr>
      <w:r>
        <w:rPr>
          <w:b/>
        </w:rPr>
        <w:t>Map:</w:t>
      </w:r>
    </w:p>
    <w:p>
      <w:pPr>
        <w:pStyle w:val="Normal"/>
        <w:rPr>
          <w:b/>
          <w:b/>
        </w:rPr>
      </w:pPr>
      <w:r>
        <w:rPr>
          <w:b/>
        </w:rPr>
        <w:t>GPS coordinates:</w:t>
      </w:r>
    </w:p>
    <w:p>
      <w:pPr>
        <w:pStyle w:val="Normal"/>
        <w:rPr/>
      </w:pPr>
      <w:r>
        <w:rPr>
          <w:b/>
        </w:rPr>
        <w:t xml:space="preserve">Cultural Affiliation: </w:t>
      </w:r>
      <w:r>
        <w:rPr>
          <w:rStyle w:val="Citationbook"/>
        </w:rPr>
        <w:t xml:space="preserve">The language of the Sorko belong to the Soninke-Bozo subgroup of Northwestern </w:t>
      </w:r>
      <w:hyperlink r:id="rId14">
        <w:r>
          <w:rPr>
            <w:rStyle w:val="Citationbook"/>
          </w:rPr>
          <w:t>Mande languages</w:t>
        </w:r>
      </w:hyperlink>
      <w:r>
        <w:rPr>
          <w:rStyle w:val="Citationbook"/>
        </w:rPr>
        <w:t xml:space="preserve"> with four distinct varieties: Xan Tie, Tiema and Sorogama (Kastenholz 1998; 2002:107-108).</w:t>
      </w:r>
    </w:p>
    <w:p>
      <w:pPr>
        <w:pStyle w:val="Normal"/>
        <w:rPr>
          <w:b/>
          <w:b/>
        </w:rPr>
      </w:pPr>
      <w:r>
        <w:rPr>
          <w:b/>
        </w:rPr>
        <w:t>Medium: bronze</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pPr>
      <w:r>
        <w:rPr/>
        <w:drawing>
          <wp:inline distT="0" distB="0" distL="0" distR="0">
            <wp:extent cx="4676140" cy="487426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5"/>
                    <a:srcRect l="-5" t="-5" r="-5" b="-5"/>
                    <a:stretch>
                      <a:fillRect/>
                    </a:stretch>
                  </pic:blipFill>
                  <pic:spPr bwMode="auto">
                    <a:xfrm>
                      <a:off x="0" y="0"/>
                      <a:ext cx="4676140" cy="4874260"/>
                    </a:xfrm>
                    <a:prstGeom prst="rect">
                      <a:avLst/>
                    </a:prstGeom>
                  </pic:spPr>
                </pic:pic>
              </a:graphicData>
            </a:graphic>
          </wp:inline>
        </w:drawing>
      </w:r>
    </w:p>
    <w:p>
      <w:pPr>
        <w:pStyle w:val="Normal"/>
        <w:rPr/>
      </w:pPr>
      <w:r>
        <w:rPr/>
        <w:t xml:space="preserve">Fig. 3. Sierra Leone, Sherbo, Afro-Portuguese ivory vessel known to have been in Denmark before 1743, National museum, </w:t>
      </w:r>
      <w:r>
        <w:rPr>
          <w:caps/>
        </w:rPr>
        <w:t>c</w:t>
      </w:r>
      <w:r>
        <w:rPr/>
        <w:t xml:space="preserve">openhagen,  </w:t>
      </w:r>
      <w:r>
        <w:rPr>
          <w:caps/>
        </w:rPr>
        <w:t>ed</w:t>
      </w:r>
      <w:r>
        <w:rPr/>
        <w:t xml:space="preserve">c 67) </w:t>
      </w:r>
      <w:r>
        <w:rPr>
          <w:rFonts w:cs="Garamond" w:ascii="Garamond" w:hAnsi="Garamond"/>
        </w:rPr>
        <w:t xml:space="preserve">Fraser, Douglas. 1972. "The Fish-legged Figure in Benin and Yoruba Art," in </w:t>
      </w:r>
      <w:r>
        <w:rPr>
          <w:i/>
          <w:iCs/>
        </w:rPr>
        <w:t xml:space="preserve">African </w:t>
      </w:r>
      <w:r>
        <w:rPr>
          <w:rFonts w:cs="Garamond" w:ascii="Garamond" w:hAnsi="Garamond"/>
        </w:rPr>
        <w:t xml:space="preserve">Art </w:t>
      </w:r>
      <w:r>
        <w:rPr>
          <w:i/>
          <w:iCs/>
        </w:rPr>
        <w:t xml:space="preserve">and Leadership, </w:t>
      </w:r>
      <w:r>
        <w:rPr>
          <w:rFonts w:cs="Garamond" w:ascii="Garamond" w:hAnsi="Garamond"/>
        </w:rPr>
        <w:t xml:space="preserve">edited by D. Fraser and H. M. Cole. Madison: </w:t>
      </w:r>
      <w:r>
        <w:rPr/>
        <w:t>University of Wisconsin Press</w:t>
      </w:r>
      <w:r>
        <w:rPr>
          <w:rFonts w:cs="Garamond" w:ascii="Garamond" w:hAnsi="Garamond"/>
        </w:rPr>
        <w:t>.</w:t>
      </w:r>
    </w:p>
    <w:p>
      <w:pPr>
        <w:pStyle w:val="Normal"/>
        <w:rPr/>
      </w:pPr>
      <w:r>
        <w:rPr/>
        <w:t>From Fraser 1972: 277.</w:t>
      </w:r>
    </w:p>
    <w:p>
      <w:pPr>
        <w:pStyle w:val="Normal"/>
        <w:rPr/>
      </w:pPr>
      <w:r>
        <w:rPr/>
        <w:drawing>
          <wp:inline distT="0" distB="0" distL="0" distR="0">
            <wp:extent cx="7011670" cy="460502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6"/>
                    <a:srcRect l="-10" t="-15" r="-10" b="-15"/>
                    <a:stretch>
                      <a:fillRect/>
                    </a:stretch>
                  </pic:blipFill>
                  <pic:spPr bwMode="auto">
                    <a:xfrm>
                      <a:off x="0" y="0"/>
                      <a:ext cx="7011670" cy="4605020"/>
                    </a:xfrm>
                    <a:prstGeom prst="rect">
                      <a:avLst/>
                    </a:prstGeom>
                  </pic:spPr>
                </pic:pic>
              </a:graphicData>
            </a:graphic>
          </wp:inline>
        </w:drawing>
      </w:r>
    </w:p>
    <w:p>
      <w:pPr>
        <w:pStyle w:val="Normal"/>
        <w:rPr/>
      </w:pPr>
      <w:r>
        <w:rPr/>
        <w:t>Detail from Fraser 1972: 277.</w:t>
      </w:r>
    </w:p>
    <w:p>
      <w:pPr>
        <w:pStyle w:val="Normal"/>
        <w:rPr>
          <w:b/>
          <w:b/>
        </w:rPr>
      </w:pPr>
      <w:r>
        <w:rPr>
          <w:b/>
        </w:rPr>
      </w:r>
    </w:p>
    <w:p>
      <w:pPr>
        <w:pStyle w:val="Normal"/>
        <w:rPr>
          <w:b/>
          <w:b/>
        </w:rPr>
      </w:pPr>
      <w:r>
        <w:rPr>
          <w:b/>
        </w:rPr>
        <w:t>References:</w:t>
      </w:r>
    </w:p>
    <w:p>
      <w:pPr>
        <w:pStyle w:val="Normal"/>
        <w:rPr>
          <w:b/>
          <w:b/>
        </w:rPr>
      </w:pPr>
      <w:r>
        <w:rPr>
          <w:b/>
        </w:rPr>
      </w:r>
    </w:p>
    <w:p>
      <w:pPr>
        <w:pStyle w:val="Normal"/>
        <w:rPr/>
      </w:pPr>
      <w:r>
        <w:rPr/>
        <w:t xml:space="preserve">Fraser, Douglas. 1972. The Fish-legged Figure in Benin and Yoruba Art, in </w:t>
      </w:r>
      <w:r>
        <w:rPr>
          <w:i/>
          <w:iCs/>
        </w:rPr>
        <w:t>African Art</w:t>
      </w:r>
      <w:r>
        <w:rPr/>
        <w:t xml:space="preserve"> </w:t>
      </w:r>
      <w:r>
        <w:rPr>
          <w:i/>
          <w:iCs/>
        </w:rPr>
        <w:t xml:space="preserve">and Leadership, </w:t>
      </w:r>
      <w:r>
        <w:rPr/>
        <w:t>edited by D. Fraser and H. M. Cole. Madison: University of Wisconsin Press.</w:t>
      </w:r>
    </w:p>
    <w:p>
      <w:pPr>
        <w:pStyle w:val="Normal"/>
        <w:ind w:end="432" w:hanging="0"/>
        <w:rPr>
          <w:spacing w:val="-5"/>
          <w:w w:val="105"/>
          <w:lang w:val="de-DE"/>
        </w:rPr>
      </w:pPr>
      <w:r>
        <w:rPr>
          <w:spacing w:val="-5"/>
          <w:w w:val="105"/>
          <w:lang w:val="de-DE"/>
        </w:rPr>
      </w:r>
    </w:p>
    <w:p>
      <w:pPr>
        <w:pStyle w:val="Normal"/>
        <w:ind w:end="432" w:hanging="0"/>
        <w:rPr/>
      </w:pPr>
      <w:r>
        <w:rPr>
          <w:spacing w:val="-5"/>
          <w:w w:val="105"/>
          <w:lang w:val="de-DE"/>
        </w:rPr>
        <w:t xml:space="preserve">Kastenholz, R. 1996. </w:t>
      </w:r>
      <w:r>
        <w:rPr>
          <w:i/>
          <w:iCs/>
          <w:spacing w:val="-5"/>
          <w:w w:val="110"/>
          <w:lang w:val="de-DE"/>
        </w:rPr>
        <w:t>Sprachgeschichte im West-Mande. Methoden und Rekonstruktionen</w:t>
      </w:r>
      <w:r>
        <w:rPr>
          <w:spacing w:val="-5"/>
          <w:w w:val="105"/>
          <w:lang w:val="de-DE"/>
        </w:rPr>
        <w:t xml:space="preserve"> (Mande Languages </w:t>
      </w:r>
      <w:r>
        <w:rPr>
          <w:spacing w:val="-4"/>
          <w:w w:val="105"/>
          <w:lang w:val="de-DE"/>
        </w:rPr>
        <w:t>and Linguistics 2). Cologne: Köppe.</w:t>
      </w:r>
    </w:p>
    <w:p>
      <w:pPr>
        <w:pStyle w:val="Normal"/>
        <w:ind w:end="432" w:hanging="0"/>
        <w:rPr>
          <w:spacing w:val="-5"/>
          <w:w w:val="105"/>
          <w:lang w:val="de-DE"/>
        </w:rPr>
      </w:pPr>
      <w:r>
        <w:rPr>
          <w:spacing w:val="-5"/>
          <w:w w:val="105"/>
          <w:lang w:val="de-DE"/>
        </w:rPr>
      </w:r>
    </w:p>
    <w:p>
      <w:pPr>
        <w:pStyle w:val="Normal"/>
        <w:ind w:end="432" w:hanging="0"/>
        <w:rPr>
          <w:spacing w:val="-3"/>
          <w:w w:val="105"/>
          <w:lang w:val="de-DE"/>
        </w:rPr>
      </w:pPr>
      <w:r>
        <w:rPr>
          <w:spacing w:val="-5"/>
          <w:w w:val="105"/>
          <w:lang w:val="de-DE"/>
        </w:rPr>
        <w:t xml:space="preserve">Kastenholz, R. </w:t>
      </w:r>
      <w:r>
        <w:rPr>
          <w:spacing w:val="-3"/>
          <w:w w:val="105"/>
          <w:lang w:val="de-DE"/>
        </w:rPr>
        <w:t xml:space="preserve">2002. “Samogo” language islands and Mande-Senufo (Gur) interference phenomena, in R </w:t>
      </w:r>
    </w:p>
    <w:p>
      <w:pPr>
        <w:pStyle w:val="Normal"/>
        <w:ind w:end="432" w:hanging="0"/>
        <w:rPr>
          <w:spacing w:val="-3"/>
          <w:w w:val="105"/>
          <w:lang w:val="de-DE"/>
        </w:rPr>
      </w:pPr>
      <w:r>
        <w:rPr>
          <w:spacing w:val="-3"/>
          <w:w w:val="105"/>
          <w:lang w:val="de-DE"/>
        </w:rPr>
      </w:r>
    </w:p>
    <w:p>
      <w:pPr>
        <w:pStyle w:val="Normal"/>
        <w:ind w:end="432" w:hanging="0"/>
        <w:rPr/>
      </w:pPr>
      <w:r>
        <w:rPr>
          <w:spacing w:val="-3"/>
          <w:w w:val="105"/>
          <w:lang w:val="de-DE"/>
        </w:rPr>
        <w:t xml:space="preserve">Nicolaï and P. Zima </w:t>
      </w:r>
      <w:r>
        <w:rPr>
          <w:spacing w:val="-5"/>
          <w:w w:val="105"/>
          <w:lang w:val="de-DE"/>
        </w:rPr>
        <w:t xml:space="preserve">(eds.), </w:t>
      </w:r>
      <w:r>
        <w:rPr>
          <w:i/>
          <w:iCs/>
          <w:spacing w:val="-5"/>
          <w:w w:val="110"/>
          <w:lang w:val="de-DE"/>
        </w:rPr>
        <w:t>Lexical and Structural Diffusion</w:t>
      </w:r>
      <w:r>
        <w:rPr>
          <w:spacing w:val="-5"/>
          <w:w w:val="105"/>
          <w:lang w:val="de-DE"/>
        </w:rPr>
        <w:t>, Corpus, Les Cahiers 1: 91-109.</w:t>
      </w:r>
    </w:p>
    <w:p>
      <w:pPr>
        <w:pStyle w:val="Normal"/>
        <w:rPr>
          <w:rStyle w:val="Citationbook"/>
          <w:lang w:val="fr-FR"/>
        </w:rPr>
      </w:pPr>
      <w:r>
        <w:rPr>
          <w:spacing w:val="-5"/>
          <w:w w:val="105"/>
          <w:lang w:val="fr-FR"/>
        </w:rPr>
      </w:r>
    </w:p>
    <w:p>
      <w:pPr>
        <w:pStyle w:val="Normal"/>
        <w:rPr/>
      </w:pPr>
      <w:r>
        <w:rPr>
          <w:rStyle w:val="Citationbook"/>
          <w:lang w:val="fr-FR"/>
        </w:rPr>
        <w:t xml:space="preserve">Ligers, Ziedonis. 1964-1969. </w:t>
      </w:r>
      <w:r>
        <w:rPr>
          <w:rStyle w:val="Citationbook"/>
          <w:i/>
          <w:iCs/>
          <w:lang w:val="fr-FR"/>
        </w:rPr>
        <w:t>Les Sorko (Bozo), maîtres du Niger: étude ethnographique</w:t>
      </w:r>
      <w:r>
        <w:rPr>
          <w:rStyle w:val="Citationbook"/>
          <w:lang w:val="fr-FR"/>
        </w:rPr>
        <w:t>. Paris: Librairie des C</w:t>
      </w:r>
      <w:r>
        <w:rPr>
          <w:rStyle w:val="Citationbook"/>
        </w:rPr>
        <w:t>inq Continents. 6 vols.</w:t>
      </w:r>
    </w:p>
    <w:p>
      <w:pPr>
        <w:pStyle w:val="Normal"/>
        <w:rPr/>
      </w:pPr>
      <w:r>
        <w:rPr/>
      </w:r>
    </w:p>
    <w:p>
      <w:pPr>
        <w:pStyle w:val="Normal"/>
        <w:rPr>
          <w:rFonts w:ascii="Garamond" w:hAnsi="Garamond" w:cs="Garamond"/>
        </w:rPr>
      </w:pPr>
      <w:r>
        <w:rPr>
          <w:rFonts w:cs="Garamond" w:ascii="Garamond" w:hAnsi="Garamond"/>
        </w:rPr>
      </w:r>
    </w:p>
    <w:p>
      <w:pPr>
        <w:pStyle w:val="Normal"/>
        <w:rPr>
          <w:rFonts w:ascii="Garamond" w:hAnsi="Garamond" w:cs="Garamond"/>
        </w:rPr>
      </w:pPr>
      <w:r>
        <w:rPr>
          <w:rFonts w:cs="Garamond" w:ascii="Garamond" w:hAnsi="Garamond"/>
        </w:rPr>
      </w:r>
    </w:p>
    <w:p>
      <w:pPr>
        <w:pStyle w:val="Normal"/>
        <w:rPr>
          <w:lang w:val="de-DE"/>
        </w:rPr>
      </w:pPr>
      <w:r>
        <w:rPr>
          <w:lang w:val="de-DE"/>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aramond">
    <w:charset w:val="00" w:characterSet="windows-1252"/>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Citationbook">
    <w:name w:val="citation book"/>
    <w:basedOn w:val="DefaultParagraphFont"/>
    <w:qFormat/>
    <w:rPr/>
  </w:style>
  <w:style w:type="character" w:styleId="Hps">
    <w:name w:val="hps"/>
    <w:basedOn w:val="DefaultParagraphFont"/>
    <w:qFormat/>
    <w:rPr/>
  </w:style>
  <w:style w:type="character" w:styleId="Hpsatn">
    <w:name w:val="hps atn"/>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yperlink" Target="http://en.wikipedia.org/wiki/Bambara_language" TargetMode="External"/><Relationship Id="rId11" Type="http://schemas.openxmlformats.org/officeDocument/2006/relationships/hyperlink" Target="http://en.wikipedia.org/wiki/Djenn&#233;" TargetMode="External"/><Relationship Id="rId12" Type="http://schemas.openxmlformats.org/officeDocument/2006/relationships/hyperlink" Target="http://en.wikipedia.org/wiki/Mopti" TargetMode="External"/><Relationship Id="rId13" Type="http://schemas.openxmlformats.org/officeDocument/2006/relationships/hyperlink" Target="http://en.wikipedia.org/wiki/Fishing" TargetMode="External"/><Relationship Id="rId14" Type="http://schemas.openxmlformats.org/officeDocument/2006/relationships/hyperlink" Target="http://en.wikipedia.org/wiki/Mande_languages" TargetMode="External"/><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2018-07-11T01:16:00Z</dcterms:created>
  <dc:creator>USER</dc:creator>
  <dc:description/>
  <cp:keywords/>
  <dc:language>en-US</dc:language>
  <cp:lastModifiedBy>Ralph Coffman</cp:lastModifiedBy>
  <cp:lastPrinted>2012-10-14T07:55:00Z</cp:lastPrinted>
  <dcterms:modified xsi:type="dcterms:W3CDTF">2018-07-11T01:16:00Z</dcterms:modified>
  <cp:revision>2</cp:revision>
  <dc:subject/>
  <dc:title>Mask-Afr-Mali-Mermaid-Bozo-Bronze</dc:title>
</cp:coreProperties>
</file>