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mallCaps/>
        </w:rPr>
      </w:pPr>
      <w:r>
        <w:rPr>
          <w:b/>
          <w:bCs/>
          <w:smallCaps/>
        </w:rPr>
        <w:t xml:space="preserve">A000-Afr-Gabon, Punu </w:t>
      </w:r>
      <w:r>
        <w:rPr>
          <w:b/>
          <w:bCs/>
          <w:i/>
          <w:iCs/>
          <w:smallCaps/>
        </w:rPr>
        <w:t>Mukudj</w:t>
      </w:r>
      <w:r>
        <w:rPr>
          <w:b/>
          <w:bCs/>
          <w:smallCaps/>
        </w:rPr>
        <w:t xml:space="preserve"> Mask on a Reliquary Door, 19th century </w:t>
      </w:r>
    </w:p>
    <w:p>
      <w:pPr>
        <w:pStyle w:val="Normal"/>
        <w:rPr>
          <w:b/>
          <w:b/>
          <w:bCs/>
          <w:smallCaps/>
        </w:rPr>
      </w:pPr>
      <w:r>
        <w:rPr/>
        <w:drawing>
          <wp:inline distT="0" distB="0" distL="0" distR="0">
            <wp:extent cx="3952875" cy="5139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3952875" cy="5139055"/>
                    </a:xfrm>
                    <a:prstGeom prst="rect">
                      <a:avLst/>
                    </a:prstGeom>
                  </pic:spPr>
                </pic:pic>
              </a:graphicData>
            </a:graphic>
          </wp:inline>
        </w:drawing>
      </w:r>
    </w:p>
    <w:p>
      <w:pPr>
        <w:pStyle w:val="Normal"/>
        <w:rPr>
          <w:b/>
          <w:b/>
          <w:bCs/>
          <w:smallCaps/>
        </w:rPr>
      </w:pPr>
      <w:r>
        <w:rPr>
          <w:b/>
          <w:bCs/>
          <w:smallCaps/>
        </w:rPr>
        <w:t xml:space="preserve">Gabon, Punu </w:t>
      </w:r>
      <w:r>
        <w:rPr>
          <w:b/>
          <w:bCs/>
          <w:i/>
          <w:iCs/>
          <w:smallCaps/>
        </w:rPr>
        <w:t>Mukudj</w:t>
      </w:r>
      <w:r>
        <w:rPr>
          <w:b/>
          <w:bCs/>
          <w:smallCaps/>
        </w:rPr>
        <w:t xml:space="preserve"> Mask on a Reliquary Door, 19th century, wood, pigments, kaolin.</w:t>
      </w:r>
    </w:p>
    <w:p>
      <w:pPr>
        <w:pStyle w:val="Normal"/>
        <w:rPr>
          <w:rStyle w:val="StrongEmphasis"/>
          <w:b/>
          <w:b/>
          <w:bCs/>
          <w:smallCaps/>
        </w:rPr>
      </w:pPr>
      <w:r>
        <w:rPr>
          <w:b/>
          <w:bCs/>
          <w:smallCaps/>
        </w:rPr>
      </w:r>
    </w:p>
    <w:p>
      <w:pPr>
        <w:pStyle w:val="Normal"/>
        <w:rPr>
          <w:rStyle w:val="StrongEmphasis"/>
        </w:rPr>
      </w:pPr>
      <w:r>
        <w:rPr>
          <w:rStyle w:val="StrongEmphasis"/>
        </w:rPr>
        <w:t xml:space="preserve">Formal Label: </w:t>
      </w:r>
      <w:r>
        <w:rPr>
          <w:b/>
          <w:bCs/>
        </w:rPr>
        <w:t xml:space="preserve">Gabon, Punu </w:t>
      </w:r>
      <w:r>
        <w:rPr>
          <w:b/>
          <w:bCs/>
          <w:i/>
          <w:iCs/>
        </w:rPr>
        <w:t>Mukudj</w:t>
      </w:r>
      <w:r>
        <w:rPr>
          <w:b/>
          <w:bCs/>
        </w:rPr>
        <w:t xml:space="preserve"> Mask on a Reliquary Door, 19th century</w:t>
      </w:r>
    </w:p>
    <w:p>
      <w:pPr>
        <w:pStyle w:val="Normal"/>
        <w:rPr/>
      </w:pPr>
      <w:r>
        <w:rPr>
          <w:rStyle w:val="StrongEmphasis"/>
        </w:rPr>
        <w:t>Accession Number:</w:t>
      </w:r>
    </w:p>
    <w:p>
      <w:pPr>
        <w:pStyle w:val="Normal"/>
        <w:rPr/>
      </w:pPr>
      <w:r>
        <w:rPr>
          <w:rStyle w:val="StrongEmphasis"/>
        </w:rPr>
        <w:t>LC Classification:</w:t>
      </w:r>
      <w:r>
        <w:rPr/>
        <w:t xml:space="preserve"> GT1748</w:t>
      </w:r>
    </w:p>
    <w:p>
      <w:pPr>
        <w:pStyle w:val="Normal"/>
        <w:rPr/>
      </w:pPr>
      <w:r>
        <w:rPr>
          <w:rStyle w:val="StrongEmphasis"/>
        </w:rPr>
        <w:t>Date or Time Horizon:</w:t>
      </w:r>
      <w:r>
        <w:rPr/>
        <w:t xml:space="preserve"> </w:t>
      </w:r>
      <w:r>
        <w:rPr>
          <w:bCs/>
        </w:rPr>
        <w:t>19th century</w:t>
      </w:r>
    </w:p>
    <w:p>
      <w:pPr>
        <w:pStyle w:val="Normal"/>
        <w:rPr/>
      </w:pPr>
      <w:r>
        <w:rPr>
          <w:rStyle w:val="StrongEmphasis"/>
        </w:rPr>
        <w:t>Geographical Area:</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r>
        <w:rPr>
          <w:bCs/>
        </w:rPr>
        <w:t>wood, pigments, kaolin</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w:t>
      </w:r>
    </w:p>
    <w:p>
      <w:pPr>
        <w:pStyle w:val="Normal"/>
        <w:rPr>
          <w:b/>
          <w:b/>
        </w:rPr>
      </w:pPr>
      <w:r>
        <w:rPr>
          <w:b/>
        </w:rPr>
        <w:t>Condition:</w:t>
      </w:r>
    </w:p>
    <w:p>
      <w:pPr>
        <w:pStyle w:val="Normal"/>
        <w:rPr>
          <w:sz w:val="20"/>
          <w:szCs w:val="20"/>
        </w:rPr>
      </w:pPr>
      <w:r>
        <w:rPr>
          <w:b/>
        </w:rPr>
        <w:t xml:space="preserve">Discussion: </w:t>
      </w:r>
      <w:r>
        <w:rPr>
          <w:sz w:val="20"/>
          <w:szCs w:val="20"/>
        </w:rPr>
        <w:t xml:space="preserve">The Punu of southern Gabon's upper Ngoumie River live in independent villages. These villages had male wood sculptors who immortalized the most revered women of the village by carving a </w:t>
      </w:r>
      <w:r>
        <w:rPr>
          <w:i/>
          <w:iCs/>
          <w:sz w:val="20"/>
          <w:szCs w:val="20"/>
        </w:rPr>
        <w:t>Mukudj</w:t>
      </w:r>
      <w:r>
        <w:rPr>
          <w:sz w:val="20"/>
          <w:szCs w:val="20"/>
        </w:rPr>
        <w:t xml:space="preserve"> mask like the one that is carved on this door of a reliquary. The reliquary probably contained a statuette of the woman whose face is carved on the door itself.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While numerous examples of masks of female figures comissioned by diviners are represented in western collections, this present work is the only known example of an authentic reliquary door known to survive. </w:t>
      </w:r>
    </w:p>
    <w:p>
      <w:pPr>
        <w:pStyle w:val="Normal"/>
        <w:rPr>
          <w:sz w:val="20"/>
          <w:szCs w:val="20"/>
        </w:rPr>
      </w:pPr>
      <w:r>
        <w:rPr>
          <w:sz w:val="20"/>
          <w:szCs w:val="20"/>
        </w:rPr>
      </w:r>
    </w:p>
    <w:p>
      <w:pPr>
        <w:pStyle w:val="Normal"/>
        <w:rPr>
          <w:b/>
          <w:b/>
        </w:rPr>
      </w:pPr>
      <w:r>
        <w:rPr>
          <w:i/>
          <w:iCs/>
          <w:sz w:val="20"/>
          <w:szCs w:val="20"/>
        </w:rPr>
        <w:t>Mukudj</w:t>
      </w:r>
      <w:r>
        <w:rPr>
          <w:sz w:val="20"/>
          <w:szCs w:val="20"/>
        </w:rPr>
        <w:t xml:space="preserve"> masks are now used to entertain audiences during festivals or celebrations. On rare occasions </w:t>
      </w:r>
      <w:r>
        <w:rPr>
          <w:i/>
          <w:iCs/>
          <w:sz w:val="20"/>
          <w:szCs w:val="20"/>
        </w:rPr>
        <w:t>Mukudj</w:t>
      </w:r>
      <w:r>
        <w:rPr>
          <w:sz w:val="20"/>
          <w:szCs w:val="20"/>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b/>
          <w:b/>
        </w:rPr>
      </w:pPr>
      <w:r>
        <w:rPr>
          <w:b/>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rFonts w:ascii="Arial" w:hAnsi="Arial" w:cs="Arial"/>
          <w:b/>
          <w:b/>
          <w:bCs/>
          <w:smallCaps/>
        </w:rPr>
      </w:pPr>
      <w:r>
        <w:rPr>
          <w:rFonts w:cs="Arial" w:ascii="Arial" w:hAnsi="Arial"/>
          <w:b/>
          <w:bCs/>
          <w:smallCaps/>
        </w:rPr>
      </w:r>
    </w:p>
    <w:p>
      <w:pPr>
        <w:pStyle w:val="Normal"/>
        <w:rPr>
          <w:rFonts w:ascii="Arial" w:hAnsi="Arial" w:cs="Arial"/>
          <w:b/>
          <w:b/>
          <w:bCs/>
          <w:smallCaps/>
        </w:rPr>
      </w:pPr>
      <w:r>
        <w:rPr>
          <w:rFonts w:cs="Arial" w:ascii="Arial" w:hAnsi="Arial"/>
          <w:b/>
          <w:bCs/>
          <w:smallCaps/>
        </w:rPr>
      </w:r>
    </w:p>
    <w:p>
      <w:pPr>
        <w:pStyle w:val="Normal"/>
        <w:rPr/>
      </w:pPr>
      <w:r>
        <w:rPr/>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2018-08-06T05:02:00Z</dcterms:created>
  <dc:creator>USER</dc:creator>
  <dc:description/>
  <cp:keywords/>
  <dc:language>en-US</dc:language>
  <cp:lastModifiedBy>Ralph Coffman</cp:lastModifiedBy>
  <dcterms:modified xsi:type="dcterms:W3CDTF">2018-08-06T05:02:00Z</dcterms:modified>
  <cp:revision>2</cp:revision>
  <dc:subject/>
  <dc:title>PUNU MUKUDJ-MASK RELIQUARY DOOR, GABON, 19TH CENTURY, WOOD,</dc:title>
</cp:coreProperties>
</file>