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0.png" ContentType="image/png"/>
  <Override PartName="/word/media/image7.png" ContentType="image/png"/>
  <Override PartName="/word/media/image9.jpeg" ContentType="image/jpeg"/>
  <Override PartName="/word/media/image8.png" ContentType="image/png"/>
  <Override PartName="/word/media/image5.jpeg" ContentType="image/jpeg"/>
  <Override PartName="/word/media/image6.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Style w:val="StrongEmphasis"/>
        </w:rPr>
      </w:pPr>
      <w:r>
        <w:rPr/>
        <w:t>A000-CAN-NW Coast-Stone  Bowl-</w:t>
      </w:r>
      <w:r>
        <w:rPr>
          <w:rStyle w:val="StrongEmphasis"/>
        </w:rPr>
        <w:t xml:space="preserve">Miocene </w:t>
      </w:r>
      <w:r>
        <w:rPr>
          <w:b/>
        </w:rPr>
        <w:t xml:space="preserve">Basalt mortar with face of </w:t>
      </w:r>
      <w:r>
        <w:rPr>
          <w:rStyle w:val="St"/>
          <w:b/>
        </w:rPr>
        <w:t>Tsagaglalal-pre 1800</w:t>
      </w:r>
    </w:p>
    <w:p>
      <w:pPr>
        <w:pStyle w:val="Normal"/>
        <w:rPr/>
      </w:pPr>
      <w:r>
        <w:rPr/>
        <w:t xml:space="preserve"> </w:t>
      </w:r>
      <w:r>
        <w:rPr/>
        <w:t>2</w:t>
      </w:r>
    </w:p>
    <w:p>
      <w:pPr>
        <w:pStyle w:val="Normal"/>
        <w:rPr/>
      </w:pPr>
      <w:r>
        <w:rPr/>
        <w:drawing>
          <wp:inline distT="0" distB="0" distL="0" distR="0">
            <wp:extent cx="4988560" cy="26993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9" r="-5" b="-9"/>
                    <a:stretch>
                      <a:fillRect/>
                    </a:stretch>
                  </pic:blipFill>
                  <pic:spPr bwMode="auto">
                    <a:xfrm>
                      <a:off x="0" y="0"/>
                      <a:ext cx="4988560" cy="2699385"/>
                    </a:xfrm>
                    <a:prstGeom prst="rect">
                      <a:avLst/>
                    </a:prstGeom>
                  </pic:spPr>
                </pic:pic>
              </a:graphicData>
            </a:graphic>
          </wp:inline>
        </w:drawing>
      </w:r>
    </w:p>
    <w:p>
      <w:pPr>
        <w:pStyle w:val="Normal"/>
        <w:rPr/>
      </w:pPr>
      <w:r>
        <w:rPr/>
        <w:drawing>
          <wp:inline distT="0" distB="0" distL="0" distR="0">
            <wp:extent cx="4041775" cy="19494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7" r="-3" b="-7"/>
                    <a:stretch>
                      <a:fillRect/>
                    </a:stretch>
                  </pic:blipFill>
                  <pic:spPr bwMode="auto">
                    <a:xfrm>
                      <a:off x="0" y="0"/>
                      <a:ext cx="4041775" cy="1949450"/>
                    </a:xfrm>
                    <a:prstGeom prst="rect">
                      <a:avLst/>
                    </a:prstGeom>
                  </pic:spPr>
                </pic:pic>
              </a:graphicData>
            </a:graphic>
          </wp:inline>
        </w:drawing>
      </w:r>
    </w:p>
    <w:p>
      <w:pPr>
        <w:pStyle w:val="Normal"/>
        <w:rPr/>
      </w:pPr>
      <w:r>
        <w:rPr/>
        <w:drawing>
          <wp:inline distT="0" distB="0" distL="0" distR="0">
            <wp:extent cx="4204335" cy="24930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3" t="-6" r="-3" b="-6"/>
                    <a:stretch>
                      <a:fillRect/>
                    </a:stretch>
                  </pic:blipFill>
                  <pic:spPr bwMode="auto">
                    <a:xfrm>
                      <a:off x="0" y="0"/>
                      <a:ext cx="4204335" cy="2493010"/>
                    </a:xfrm>
                    <a:prstGeom prst="rect">
                      <a:avLst/>
                    </a:prstGeom>
                  </pic:spPr>
                </pic:pic>
              </a:graphicData>
            </a:graphic>
          </wp:inline>
        </w:drawing>
      </w:r>
      <w:r>
        <w:rPr/>
        <w:drawing>
          <wp:inline distT="0" distB="0" distL="0" distR="0">
            <wp:extent cx="4088130" cy="39820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5" r="-5" b="-5"/>
                    <a:stretch>
                      <a:fillRect/>
                    </a:stretch>
                  </pic:blipFill>
                  <pic:spPr bwMode="auto">
                    <a:xfrm>
                      <a:off x="0" y="0"/>
                      <a:ext cx="4088130" cy="3982085"/>
                    </a:xfrm>
                    <a:prstGeom prst="rect">
                      <a:avLst/>
                    </a:prstGeom>
                  </pic:spPr>
                </pic:pic>
              </a:graphicData>
            </a:graphic>
          </wp:inline>
        </w:drawing>
      </w:r>
    </w:p>
    <w:p>
      <w:pPr>
        <w:pStyle w:val="Normal"/>
        <w:rPr/>
      </w:pPr>
      <w:r>
        <w:rPr/>
        <w:drawing>
          <wp:inline distT="0" distB="0" distL="0" distR="0">
            <wp:extent cx="3678555" cy="19240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3" t="-7" r="-3" b="-7"/>
                    <a:stretch>
                      <a:fillRect/>
                    </a:stretch>
                  </pic:blipFill>
                  <pic:spPr bwMode="auto">
                    <a:xfrm>
                      <a:off x="0" y="0"/>
                      <a:ext cx="3678555" cy="1924050"/>
                    </a:xfrm>
                    <a:prstGeom prst="rect">
                      <a:avLst/>
                    </a:prstGeom>
                  </pic:spPr>
                </pic:pic>
              </a:graphicData>
            </a:graphic>
          </wp:inline>
        </w:drawing>
      </w:r>
    </w:p>
    <w:p>
      <w:pPr>
        <w:pStyle w:val="Normal"/>
        <w:rPr/>
      </w:pPr>
      <w:r>
        <w:rPr/>
      </w:r>
    </w:p>
    <w:p>
      <w:pPr>
        <w:pStyle w:val="Heading2"/>
        <w:rPr>
          <w:b w:val="false"/>
          <w:b w:val="false"/>
          <w:sz w:val="24"/>
          <w:szCs w:val="24"/>
        </w:rPr>
      </w:pPr>
      <w:r>
        <w:rPr>
          <w:b w:val="false"/>
          <w:sz w:val="24"/>
          <w:szCs w:val="24"/>
        </w:rPr>
        <w:t>Fig. 1-5: Miocene Basalt (Columbia River Basalt Group</w:t>
      </w:r>
      <w:r>
        <w:rPr>
          <w:sz w:val="24"/>
          <w:szCs w:val="24"/>
        </w:rPr>
        <w:t xml:space="preserve">) </w:t>
      </w:r>
      <w:r>
        <w:rPr>
          <w:b w:val="false"/>
          <w:sz w:val="24"/>
          <w:szCs w:val="24"/>
        </w:rPr>
        <w:t xml:space="preserve">mortar with face of </w:t>
      </w:r>
      <w:r>
        <w:rPr>
          <w:rStyle w:val="St"/>
          <w:b/>
          <w:sz w:val="24"/>
          <w:szCs w:val="24"/>
        </w:rPr>
        <w:t>Tsagaglalal -- "</w:t>
      </w:r>
      <w:r>
        <w:rPr>
          <w:rStyle w:val="Emphasis"/>
          <w:b/>
          <w:sz w:val="24"/>
          <w:szCs w:val="24"/>
        </w:rPr>
        <w:t>She Who Watches.</w:t>
      </w:r>
      <w:r>
        <w:rPr>
          <w:rStyle w:val="St"/>
          <w:b/>
          <w:sz w:val="24"/>
          <w:szCs w:val="24"/>
        </w:rPr>
        <w:t>"</w:t>
      </w:r>
      <w:r>
        <w:rPr>
          <w:b w:val="false"/>
          <w:sz w:val="24"/>
          <w:szCs w:val="24"/>
        </w:rPr>
        <w:t xml:space="preserve"> </w:t>
      </w:r>
    </w:p>
    <w:p>
      <w:pPr>
        <w:pStyle w:val="Heading2"/>
        <w:rPr>
          <w:lang w:val="en-US" w:eastAsia="en-US"/>
        </w:rPr>
      </w:pPr>
      <w:r>
        <w:rPr/>
        <w:drawing>
          <wp:inline distT="0" distB="0" distL="0" distR="0">
            <wp:extent cx="3234055" cy="18542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8" t="-14" r="-8" b="-14"/>
                    <a:stretch>
                      <a:fillRect/>
                    </a:stretch>
                  </pic:blipFill>
                  <pic:spPr bwMode="auto">
                    <a:xfrm>
                      <a:off x="0" y="0"/>
                      <a:ext cx="3234055" cy="1854200"/>
                    </a:xfrm>
                    <a:prstGeom prst="rect">
                      <a:avLst/>
                    </a:prstGeom>
                  </pic:spPr>
                </pic:pic>
              </a:graphicData>
            </a:graphic>
          </wp:inline>
        </w:drawing>
      </w:r>
      <w:r>
        <w:rPr>
          <w:lang w:val="en-US" w:eastAsia="en-US"/>
        </w:rPr>
        <w:drawing>
          <wp:inline distT="0" distB="0" distL="0" distR="0">
            <wp:extent cx="2901950" cy="1870710"/>
            <wp:effectExtent l="0" t="0" r="0" b="0"/>
            <wp:docPr id="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title=""/>
                    <pic:cNvPicPr>
                      <a:picLocks noChangeAspect="1" noChangeArrowheads="1"/>
                    </pic:cNvPicPr>
                  </pic:nvPicPr>
                  <pic:blipFill>
                    <a:blip r:embed="rId8"/>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sz w:val="24"/>
          <w:szCs w:val="24"/>
        </w:rPr>
      </w:pPr>
      <w:r>
        <w:rPr>
          <w:b w:val="false"/>
          <w:sz w:val="24"/>
          <w:szCs w:val="24"/>
        </w:rPr>
        <w:t xml:space="preserve">Fig. 6-7. Edward S. Curtis, </w:t>
      </w:r>
      <w:r>
        <w:rPr>
          <w:rStyle w:val="St"/>
          <w:b/>
          <w:sz w:val="24"/>
          <w:szCs w:val="24"/>
        </w:rPr>
        <w:t>Tsagaglalal Petroglyph -- "</w:t>
      </w:r>
      <w:r>
        <w:rPr>
          <w:rStyle w:val="Emphasis"/>
          <w:b/>
          <w:sz w:val="24"/>
          <w:szCs w:val="24"/>
        </w:rPr>
        <w:t>She Who Watches</w:t>
      </w:r>
      <w:r>
        <w:rPr>
          <w:rStyle w:val="St"/>
          <w:b/>
          <w:sz w:val="24"/>
          <w:szCs w:val="24"/>
        </w:rPr>
        <w:t>"</w:t>
      </w:r>
      <w:r>
        <w:rPr>
          <w:b w:val="false"/>
          <w:sz w:val="24"/>
          <w:szCs w:val="24"/>
        </w:rPr>
        <w:t xml:space="preserve"> petroglyph, on Miocene basalt from Columbia Hills State Park - Horsethief Lake Petroglyphs, Eastern Gorge, Washington. Left, sepia, right gray scale.</w:t>
      </w:r>
    </w:p>
    <w:p>
      <w:pPr>
        <w:pStyle w:val="Normal"/>
        <w:rPr/>
      </w:pPr>
      <w:r>
        <w:rPr>
          <w:lang w:val="en-US" w:eastAsia="en-US"/>
        </w:rPr>
        <w:drawing>
          <wp:inline distT="0" distB="0" distL="0" distR="0">
            <wp:extent cx="2882265" cy="247650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13" t="-15" r="-13" b="-15"/>
                    <a:stretch>
                      <a:fillRect/>
                    </a:stretch>
                  </pic:blipFill>
                  <pic:spPr bwMode="auto">
                    <a:xfrm>
                      <a:off x="0" y="0"/>
                      <a:ext cx="2882265" cy="2476500"/>
                    </a:xfrm>
                    <a:prstGeom prst="rect">
                      <a:avLst/>
                    </a:prstGeom>
                  </pic:spPr>
                </pic:pic>
              </a:graphicData>
            </a:graphic>
          </wp:inline>
        </w:drawing>
      </w:r>
      <w:r>
        <w:rPr/>
        <w:drawing>
          <wp:inline distT="0" distB="0" distL="0" distR="0">
            <wp:extent cx="2816225" cy="201041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4" t="-6" r="-4" b="-6"/>
                    <a:stretch>
                      <a:fillRect/>
                    </a:stretch>
                  </pic:blipFill>
                  <pic:spPr bwMode="auto">
                    <a:xfrm>
                      <a:off x="0" y="0"/>
                      <a:ext cx="2816225" cy="2010410"/>
                    </a:xfrm>
                    <a:prstGeom prst="rect">
                      <a:avLst/>
                    </a:prstGeom>
                  </pic:spPr>
                </pic:pic>
              </a:graphicData>
            </a:graphic>
          </wp:inline>
        </w:drawing>
      </w:r>
    </w:p>
    <w:p>
      <w:pPr>
        <w:pStyle w:val="Normal"/>
        <w:rPr>
          <w:rStyle w:val="StrongEmphasis"/>
        </w:rPr>
      </w:pPr>
      <w:r>
        <w:rPr>
          <w:rStyle w:val="StrongEmphasis"/>
        </w:rPr>
        <w:t xml:space="preserve">Formal Label: Miocene </w:t>
      </w:r>
      <w:r>
        <w:rPr>
          <w:b/>
        </w:rPr>
        <w:t>Basalt (Columbia River Basalt Group</w:t>
      </w:r>
      <w:r>
        <w:rPr/>
        <w:t>)</w:t>
      </w:r>
      <w:r>
        <w:rPr>
          <w:b/>
        </w:rPr>
        <w:t xml:space="preserve"> mortar with face of </w:t>
      </w:r>
      <w:r>
        <w:rPr>
          <w:rStyle w:val="St"/>
          <w:b/>
        </w:rPr>
        <w:t>Tsagaglalal-pre 1800</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w:t>
      </w:r>
      <w:r>
        <w:rPr/>
        <w:t xml:space="preserve"> pre-1800</w:t>
      </w:r>
    </w:p>
    <w:p>
      <w:pPr>
        <w:pStyle w:val="Normal"/>
        <w:rPr/>
      </w:pPr>
      <w:r>
        <w:rPr>
          <w:rStyle w:val="StrongEmphasis"/>
        </w:rPr>
        <w:t>Geographical Area:</w:t>
      </w:r>
      <w:r>
        <w:rPr/>
        <w:t xml:space="preserve"> Columbia River, near Horsethief Lake, at a place the Wishram call</w:t>
      </w:r>
      <w:r>
        <w:rPr>
          <w:i/>
        </w:rPr>
        <w:t xml:space="preserve"> </w:t>
      </w:r>
      <w:r>
        <w:rPr/>
        <w:t>“</w:t>
      </w:r>
      <w:r>
        <w:rPr>
          <w:i/>
        </w:rPr>
        <w:t>timm</w:t>
      </w:r>
      <w:r>
        <w:rPr/>
        <w:t xml:space="preserve">” (The Journals of Lewis and Clark, </w:t>
      </w:r>
      <w:r>
        <w:rPr>
          <w:b/>
          <w:bCs/>
        </w:rPr>
        <w:t>Clark, October 24, 1805.</w:t>
      </w:r>
    </w:p>
    <w:p>
      <w:pPr>
        <w:pStyle w:val="Normal"/>
        <w:rPr>
          <w:lang w:val="en-US" w:eastAsia="en-US"/>
        </w:rPr>
      </w:pPr>
      <w:r>
        <w:rPr>
          <w:lang w:val="en-US" w:eastAsia="en-US"/>
        </w:rPr>
        <w:drawing>
          <wp:inline distT="0" distB="0" distL="0" distR="0">
            <wp:extent cx="4467225" cy="334327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10" t="-14" r="-10" b="-14"/>
                    <a:stretch>
                      <a:fillRect/>
                    </a:stretch>
                  </pic:blipFill>
                  <pic:spPr bwMode="auto">
                    <a:xfrm>
                      <a:off x="0" y="0"/>
                      <a:ext cx="4467225" cy="3343275"/>
                    </a:xfrm>
                    <a:prstGeom prst="rect">
                      <a:avLst/>
                    </a:prstGeom>
                  </pic:spPr>
                </pic:pic>
              </a:graphicData>
            </a:graphic>
          </wp:inline>
        </w:drawing>
      </w:r>
    </w:p>
    <w:p>
      <w:pPr>
        <w:pStyle w:val="Normal"/>
        <w:rPr/>
      </w:pPr>
      <w:r>
        <w:rPr>
          <w:lang w:val="en-US" w:eastAsia="en-US"/>
        </w:rPr>
        <w:t>Mark Nowlin, The Seattle Times, http://old.seattletimes.com/ABPub/2013/05/15/2020993143.gif</w:t>
      </w:r>
    </w:p>
    <w:p>
      <w:pPr>
        <w:pStyle w:val="Normal"/>
        <w:rPr/>
      </w:pPr>
      <w:r>
        <w:rPr>
          <w:rStyle w:val="StrongEmphasis"/>
        </w:rPr>
        <w:t>Cultural Affiliation:</w:t>
      </w:r>
      <w:r>
        <w:rPr/>
        <w:t xml:space="preserve"> Wishram (?).</w:t>
      </w:r>
    </w:p>
    <w:p>
      <w:pPr>
        <w:pStyle w:val="Normal"/>
        <w:rPr/>
      </w:pPr>
      <w:r>
        <w:rPr>
          <w:rStyle w:val="StrongEmphasis"/>
        </w:rPr>
        <w:t>Medium:</w:t>
      </w:r>
      <w:r>
        <w:rPr/>
        <w:t xml:space="preserve"> Miocene Basalt, Columbia River Basalt Group (CRBG), 17 and 12 Ma</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 Wishram (?).</w:t>
      </w:r>
    </w:p>
    <w:p>
      <w:pPr>
        <w:pStyle w:val="Normal"/>
        <w:rPr>
          <w:b/>
          <w:b/>
        </w:rPr>
      </w:pPr>
      <w:r>
        <w:rPr>
          <w:b/>
        </w:rPr>
        <w:t>Condition: No defects</w:t>
      </w:r>
    </w:p>
    <w:p>
      <w:pPr>
        <w:pStyle w:val="Normal"/>
        <w:rPr>
          <w:b/>
          <w:b/>
        </w:rPr>
      </w:pPr>
      <w:r>
        <w:rPr>
          <w:b/>
        </w:rPr>
        <w:t>Discussion: from the area of the Dalles (</w:t>
      </w:r>
      <w:r>
        <w:rPr/>
        <w:t xml:space="preserve">French </w:t>
      </w:r>
      <w:hyperlink r:id="rId12">
        <w:r>
          <w:rPr>
            <w:rStyle w:val="InternetLink"/>
            <w:i/>
            <w:iCs/>
          </w:rPr>
          <w:t>dalle</w:t>
        </w:r>
      </w:hyperlink>
      <w:r>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rPr>
        <w:t>(</w:t>
      </w:r>
      <w:r>
        <w:rPr>
          <w:rStyle w:val="HTMLCite"/>
          <w:i w:val="false"/>
        </w:rPr>
        <w:t>Weaire and Rivier  2006).</w:t>
      </w:r>
    </w:p>
    <w:p>
      <w:pPr>
        <w:pStyle w:val="NormalWeb"/>
        <w:numPr>
          <w:ilvl w:val="0"/>
          <w:numId w:val="2"/>
        </w:numPr>
        <w:spacing w:before="280" w:after="280"/>
        <w:rPr/>
      </w:pPr>
      <w:r>
        <w:rPr/>
        <w:t xml:space="preserve">The legend of </w:t>
      </w:r>
      <w:r>
        <w:rPr>
          <w:rStyle w:val="St"/>
        </w:rPr>
        <w:t>Tsagaglalal</w:t>
      </w:r>
      <w:r>
        <w:rPr/>
        <w:t>. From Pitt 2016.</w:t>
      </w:r>
    </w:p>
    <w:p>
      <w:pPr>
        <w:pStyle w:val="Normal"/>
        <w:rPr/>
      </w:pPr>
      <w:r>
        <w:rPr/>
        <w:t xml:space="preserve">"There was this [Wishram] village on the Washington side of the Columbia Gorge. And this was long ago when people were not yet real people, and that is when we could talk to the animals. </w:t>
      </w:r>
    </w:p>
    <w:p>
      <w:pPr>
        <w:pStyle w:val="NormalWeb"/>
        <w:rPr/>
      </w:pPr>
      <w:r>
        <w:rPr/>
        <w:t xml:space="preserve">And so Coyote — the Trickster — came down the river to the village and asked the people if they were living well. And they said "Yes, we are, but you need to talk to our chief, </w:t>
      </w:r>
      <w:r>
        <w:rPr>
          <w:rStyle w:val="St"/>
          <w:b/>
        </w:rPr>
        <w:t>Tsagaglalal</w:t>
      </w:r>
      <w:r>
        <w:rPr/>
        <w:t xml:space="preserve">. She lives up in the hill." </w:t>
      </w:r>
    </w:p>
    <w:p>
      <w:pPr>
        <w:pStyle w:val="NormalWeb"/>
        <w:rPr/>
      </w:pPr>
      <w:r>
        <w:rPr/>
        <w:t xml:space="preserve">So Coyote pranced up the hill and asked </w:t>
      </w:r>
      <w:r>
        <w:rPr>
          <w:rStyle w:val="St"/>
          <w:b/>
        </w:rPr>
        <w:t>Tsagaglalal</w:t>
      </w:r>
      <w:r>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pPr>
      <w:r>
        <w:rPr/>
        <w:t xml:space="preserve">And it was at that time that Coyote changed her into a rock to watch her people forever." </w:t>
        <w:br/>
        <w:br/>
      </w:r>
    </w:p>
    <w:p>
      <w:pPr>
        <w:pStyle w:val="NormalWeb"/>
        <w:numPr>
          <w:ilvl w:val="0"/>
          <w:numId w:val="2"/>
        </w:numPr>
        <w:spacing w:before="280" w:after="280"/>
        <w:rPr/>
      </w:pPr>
      <w:r>
        <w:rPr/>
        <w:t xml:space="preserve">The legend of </w:t>
      </w:r>
      <w:r>
        <w:rPr>
          <w:rStyle w:val="St"/>
        </w:rPr>
        <w:t>Tsagaglalal</w:t>
      </w:r>
      <w:r>
        <w:rPr/>
        <w:t>. From Saynich 2015.</w:t>
      </w:r>
    </w:p>
    <w:p>
      <w:pPr>
        <w:pStyle w:val="NormalWeb"/>
        <w:rPr/>
      </w:pPr>
      <w:r>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pPr>
      <w:r>
        <w:rPr/>
        <w:t>Coyote climbed up to the house on the rocks and asked, “What kind of living do you give these people? Do you treat them well or are you one of those evil women?”</w:t>
      </w:r>
    </w:p>
    <w:p>
      <w:pPr>
        <w:pStyle w:val="NormalWeb"/>
        <w:rPr/>
      </w:pPr>
      <w:r>
        <w:rPr/>
        <w:t>“</w:t>
      </w:r>
      <w:r>
        <w:rPr/>
        <w:t>I am teaching them to live well and build good houses,” she said.</w:t>
      </w:r>
    </w:p>
    <w:p>
      <w:pPr>
        <w:pStyle w:val="NormalWeb"/>
        <w:rPr/>
      </w:pPr>
      <w:r>
        <w:rPr/>
        <w:t>When she expressed her desire to be able to do this forever, he said, “Soon the world will change and women will no longer be chiefs.”</w:t>
      </w:r>
    </w:p>
    <w:p>
      <w:pPr>
        <w:pStyle w:val="NormalWeb"/>
        <w:rPr/>
      </w:pPr>
      <w:r>
        <w:rPr/>
        <w:t>Being the trickster that he was, Coyote changed her into a rock with the command, “You shall stay here and watch over the people and the river forever.”</w:t>
      </w:r>
    </w:p>
    <w:p>
      <w:pPr>
        <w:pStyle w:val="Normal"/>
        <w:numPr>
          <w:ilvl w:val="0"/>
          <w:numId w:val="2"/>
        </w:numPr>
        <w:rPr>
          <w:b/>
          <w:b/>
        </w:rPr>
      </w:pPr>
      <w:r>
        <w:rPr>
          <w:b/>
        </w:rPr>
        <w:t>Moulton 1983: 331-332. [</w:t>
      </w:r>
      <w:r>
        <w:rPr>
          <w:b/>
          <w:bCs/>
        </w:rPr>
        <w:t>Clark] October 24</w:t>
      </w:r>
      <w:r>
        <w:rPr>
          <w:b/>
          <w:bCs/>
          <w:vertAlign w:val="superscript"/>
        </w:rPr>
        <w:t>th</w:t>
      </w:r>
      <w:r>
        <w:rPr>
          <w:b/>
          <w:bCs/>
        </w:rPr>
        <w:t xml:space="preserve"> Thursday 1805.</w:t>
      </w:r>
    </w:p>
    <w:p>
      <w:pPr>
        <w:pStyle w:val="Normal"/>
        <w:rPr/>
      </w:pPr>
      <w:r>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w:t>
      </w:r>
      <w:r>
        <w:rPr>
          <w:color w:val="0000FF"/>
        </w:rPr>
        <w:t>[this high rock became Browns Island when the waters of Lake Celilo inundated the valley]</w:t>
      </w:r>
      <w:r>
        <w:rPr/>
        <w:t xml:space="preserve">.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rPr>
        <w:t xml:space="preserve">proceeded down with the Canoes two at a time to a [Wishram] village of 20 wood housies in a Deep bend to the Star[boar]d. Side </w:t>
      </w:r>
      <w:r>
        <w:rPr>
          <w:b/>
          <w:color w:val="0000FF"/>
        </w:rPr>
        <w:t>[area of Horsethief Butte and Horsethief Lake]</w:t>
      </w:r>
      <w:r>
        <w:rPr>
          <w:b/>
        </w:rPr>
        <w:t xml:space="preserve"> below which a rugid black rock about &lt;the&gt; 20 feet hiter &lt;of&gt; than the Common high fluds of the river with Several dry Chanels which appeared to Choke the river up quite across; this I took to be the 2d falls or the place the nativs above call </w:t>
      </w:r>
      <w:r>
        <w:rPr>
          <w:b/>
          <w:i/>
          <w:iCs/>
        </w:rPr>
        <w:t>timm</w:t>
      </w:r>
      <w:r>
        <w:rPr>
          <w:b/>
        </w:rPr>
        <w:t xml:space="preserve">, </w:t>
      </w:r>
      <w:r>
        <w:rPr/>
        <w:t xml:space="preserve">The nativs of this village re[ce]ived me verry kindly, one of whome envited me into his house, </w:t>
      </w:r>
      <w:r>
        <w:rPr>
          <w:b/>
          <w:bCs/>
        </w:rPr>
        <w:t>...</w:t>
      </w:r>
      <w:r>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11"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title=""/>
                    <pic:cNvPicPr>
                      <a:picLocks noChangeAspect="1" noChangeArrowheads="1"/>
                    </pic:cNvPicPr>
                  </pic:nvPicPr>
                  <pic:blipFill>
                    <a:blip r:embed="rId13"/>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4"/>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5"/>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6">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7"/>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b/>
          <w:sz w:val="15"/>
          <w:szCs w:val="15"/>
        </w:rPr>
        <w:t>Stone statuette from near</w:t>
      </w:r>
      <w:r>
        <w:rPr>
          <w:sz w:val="15"/>
          <w:szCs w:val="15"/>
        </w:rPr>
        <w:t xml:space="preserve">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b/>
          <w:b/>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56:293-325, 57:125-67.</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sz w:val="15"/>
        <w:b/>
        <w:szCs w:val="15"/>
        <w:bC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cs="Calibri Light"/>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sz w:val="15"/>
      <w:szCs w:val="15"/>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Heading1Char">
    <w:name w:val="Heading 1 Char"/>
    <w:qFormat/>
    <w:rPr>
      <w:rFonts w:ascii="Calibri Light" w:hAnsi="Calibri Light" w:cs="Calibri Light"/>
      <w:b/>
      <w:bCs/>
      <w:kern w:val="2"/>
      <w:sz w:val="32"/>
      <w:szCs w:val="32"/>
    </w:rPr>
  </w:style>
  <w:style w:type="character" w:styleId="Heading2Char">
    <w:name w:val="Heading 2 Char"/>
    <w:qFormat/>
    <w:rPr>
      <w:b/>
      <w:bCs/>
      <w:sz w:val="36"/>
      <w:szCs w:val="36"/>
    </w:rPr>
  </w:style>
  <w:style w:type="character" w:styleId="StrongEmphasis">
    <w:name w:val="Strong Emphasis"/>
    <w:qFormat/>
    <w:rPr>
      <w:b/>
      <w:bCs/>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hyperlink" Target="https://en.wiktionary.org/wiki/dalle"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columbiariverimages.com/Images11/horsethief_lake_park_petroglyphs_10-15-11.jpg" TargetMode="External"/><Relationship Id="rId17" Type="http://schemas.openxmlformats.org/officeDocument/2006/relationships/image" Target="media/image14.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2018-07-13T02:38:00Z</dcterms:created>
  <dc:creator>owner</dc:creator>
  <dc:description/>
  <cp:keywords/>
  <dc:language>en-US</dc:language>
  <cp:lastModifiedBy>Ralph Coffman</cp:lastModifiedBy>
  <dcterms:modified xsi:type="dcterms:W3CDTF">2018-07-13T02:38:00Z</dcterms:modified>
  <cp:revision>2</cp:revision>
  <dc:subject/>
  <dc:title>DIS-CAN-NW Coast-Stone  Bowl--Owl Face-pre 1800 2</dc:title>
</cp:coreProperties>
</file>