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6.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rPr>
        <w:t>A000-Mex-Colima-Tlaloc-Incensario-Ceramic 200 BCE</w:t>
      </w:r>
    </w:p>
    <w:p>
      <w:pPr>
        <w:pStyle w:val="Normal"/>
        <w:rPr/>
      </w:pPr>
      <w:r>
        <w:rPr/>
        <w:drawing>
          <wp:inline distT="0" distB="0" distL="0" distR="0">
            <wp:extent cx="3125470" cy="47148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5" r="-7" b="-5"/>
                    <a:stretch>
                      <a:fillRect/>
                    </a:stretch>
                  </pic:blipFill>
                  <pic:spPr bwMode="auto">
                    <a:xfrm>
                      <a:off x="0" y="0"/>
                      <a:ext cx="3125470" cy="4714875"/>
                    </a:xfrm>
                    <a:prstGeom prst="rect">
                      <a:avLst/>
                    </a:prstGeom>
                  </pic:spPr>
                </pic:pic>
              </a:graphicData>
            </a:graphic>
          </wp:inline>
        </w:drawing>
      </w:r>
      <w:r>
        <w:rPr/>
        <w:drawing>
          <wp:inline distT="0" distB="0" distL="0" distR="0">
            <wp:extent cx="2623185" cy="47282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9" t="-5" r="-9" b="-5"/>
                    <a:stretch>
                      <a:fillRect/>
                    </a:stretch>
                  </pic:blipFill>
                  <pic:spPr bwMode="auto">
                    <a:xfrm>
                      <a:off x="0" y="0"/>
                      <a:ext cx="2623185" cy="4728210"/>
                    </a:xfrm>
                    <a:prstGeom prst="rect">
                      <a:avLst/>
                    </a:prstGeom>
                  </pic:spPr>
                </pic:pic>
              </a:graphicData>
            </a:graphic>
          </wp:inline>
        </w:drawing>
      </w:r>
    </w:p>
    <w:p>
      <w:pPr>
        <w:pStyle w:val="Normal"/>
        <w:rPr/>
      </w:pPr>
      <w:r>
        <w:rPr/>
        <w:drawing>
          <wp:inline distT="0" distB="0" distL="0" distR="0">
            <wp:extent cx="2795270" cy="41910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5" r="-7" b="-5"/>
                    <a:stretch>
                      <a:fillRect/>
                    </a:stretch>
                  </pic:blipFill>
                  <pic:spPr bwMode="auto">
                    <a:xfrm>
                      <a:off x="0" y="0"/>
                      <a:ext cx="2795270" cy="4191000"/>
                    </a:xfrm>
                    <a:prstGeom prst="rect">
                      <a:avLst/>
                    </a:prstGeom>
                  </pic:spPr>
                </pic:pic>
              </a:graphicData>
            </a:graphic>
          </wp:inline>
        </w:drawing>
      </w:r>
      <w:r>
        <w:rPr/>
        <w:drawing>
          <wp:inline distT="0" distB="0" distL="0" distR="0">
            <wp:extent cx="2899410" cy="42481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5" r="-7" b="-5"/>
                    <a:stretch>
                      <a:fillRect/>
                    </a:stretch>
                  </pic:blipFill>
                  <pic:spPr bwMode="auto">
                    <a:xfrm>
                      <a:off x="0" y="0"/>
                      <a:ext cx="2899410" cy="4248150"/>
                    </a:xfrm>
                    <a:prstGeom prst="rect">
                      <a:avLst/>
                    </a:prstGeom>
                  </pic:spPr>
                </pic:pic>
              </a:graphicData>
            </a:graphic>
          </wp:inline>
        </w:drawing>
      </w:r>
    </w:p>
    <w:p>
      <w:pPr>
        <w:pStyle w:val="Normal"/>
        <w:rPr/>
      </w:pPr>
      <w:r>
        <w:rPr/>
        <w:drawing>
          <wp:inline distT="0" distB="0" distL="0" distR="0">
            <wp:extent cx="2210435" cy="33845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7" t="-5" r="-7" b="-5"/>
                    <a:stretch>
                      <a:fillRect/>
                    </a:stretch>
                  </pic:blipFill>
                  <pic:spPr bwMode="auto">
                    <a:xfrm>
                      <a:off x="0" y="0"/>
                      <a:ext cx="2210435" cy="3384550"/>
                    </a:xfrm>
                    <a:prstGeom prst="rect">
                      <a:avLst/>
                    </a:prstGeom>
                  </pic:spPr>
                </pic:pic>
              </a:graphicData>
            </a:graphic>
          </wp:inline>
        </w:drawing>
      </w:r>
    </w:p>
    <w:p>
      <w:pPr>
        <w:pStyle w:val="Normal"/>
        <w:rPr>
          <w:b/>
          <w:b/>
          <w:bCs/>
        </w:rPr>
      </w:pPr>
      <w:r>
        <w:rPr>
          <w:b/>
          <w:bCs/>
        </w:rPr>
        <w:t>Mex-Colima-Tlaloc-Incensario-Ceramic 200 BCE</w:t>
      </w:r>
    </w:p>
    <w:p>
      <w:pPr>
        <w:pStyle w:val="Normal"/>
        <w:rPr>
          <w:rFonts w:ascii="Verdana" w:hAnsi="Verdana" w:cs="Verdana"/>
          <w:b/>
          <w:b/>
          <w:bCs/>
          <w:color w:val="000000"/>
          <w:sz w:val="20"/>
          <w:szCs w:val="20"/>
        </w:rPr>
      </w:pPr>
      <w:r>
        <w:rPr>
          <w:b/>
          <w:bCs/>
        </w:rPr>
        <w:br/>
      </w:r>
    </w:p>
    <w:p>
      <w:pPr>
        <w:pStyle w:val="Normal"/>
        <w:rPr/>
      </w:pPr>
      <w:r>
        <w:rPr>
          <w:rStyle w:val="StrongEmphasis"/>
        </w:rPr>
        <w:t>Case No.: 9</w:t>
      </w:r>
    </w:p>
    <w:p>
      <w:pPr>
        <w:pStyle w:val="Normal"/>
        <w:rPr/>
      </w:pPr>
      <w:r>
        <w:rPr>
          <w:b/>
        </w:rPr>
        <w:t>Accession No.</w:t>
      </w:r>
    </w:p>
    <w:p>
      <w:pPr>
        <w:pStyle w:val="Normal"/>
        <w:rPr>
          <w:b/>
          <w:b/>
          <w:bCs/>
        </w:rPr>
      </w:pPr>
      <w:r>
        <w:rPr>
          <w:b/>
        </w:rPr>
        <w:t xml:space="preserve">Formal Label: </w:t>
      </w:r>
      <w:r>
        <w:rPr>
          <w:b/>
          <w:bCs/>
        </w:rPr>
        <w:t>Mex-Colima-Tlaloc-Incensario-Ceramic 200 BCE</w:t>
      </w:r>
    </w:p>
    <w:p>
      <w:pPr>
        <w:pStyle w:val="Normal"/>
        <w:rPr>
          <w:b/>
          <w:b/>
        </w:rPr>
      </w:pPr>
      <w:r>
        <w:rPr>
          <w:b/>
        </w:rPr>
        <w:t>Display Description:</w:t>
      </w:r>
    </w:p>
    <w:p>
      <w:pPr>
        <w:pStyle w:val="Normal"/>
        <w:rPr>
          <w:rFonts w:ascii="Verdana" w:hAnsi="Verdana" w:cs="Verdana"/>
          <w:b/>
          <w:b/>
          <w:bCs/>
          <w:color w:val="000000"/>
          <w:sz w:val="20"/>
          <w:szCs w:val="20"/>
        </w:rPr>
      </w:pPr>
      <w:r>
        <w:rPr>
          <w:rFonts w:cs="Verdana" w:ascii="Verdana" w:hAnsi="Verdana"/>
          <w:b/>
          <w:bCs/>
          <w:color w:val="000000"/>
          <w:sz w:val="20"/>
          <w:szCs w:val="20"/>
        </w:rPr>
        <w:t xml:space="preserve">Pre-Columbian, West Coast, Mexico, Ca 200 BCE. Large pottery incensario featuring Tlaloc. Each side features the god, seated in the nude with prominent genitals and applied semi abstract facial features; large looping handle. </w:t>
      </w:r>
    </w:p>
    <w:p>
      <w:pPr>
        <w:pStyle w:val="Normal"/>
        <w:numPr>
          <w:ilvl w:val="0"/>
          <w:numId w:val="2"/>
        </w:numPr>
        <w:shd w:fill="FFFFFF" w:val="clear"/>
        <w:spacing w:before="0" w:after="280"/>
        <w:ind w:start="0" w:hanging="360"/>
        <w:rPr/>
      </w:pPr>
      <w:r>
        <w:rPr>
          <w:b/>
        </w:rPr>
        <w:t xml:space="preserve">LC Classification: </w:t>
      </w:r>
      <w:r>
        <w:rPr>
          <w:rFonts w:cs="Helvetica" w:ascii="Helvetica" w:hAnsi="Helvetica"/>
          <w:b/>
          <w:bCs/>
          <w:color w:val="44707B"/>
          <w:sz w:val="23"/>
          <w:szCs w:val="23"/>
        </w:rPr>
        <w:t>F1219.1.C75 </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lang w:val="en-US" w:eastAsia="en-US"/>
        </w:rPr>
        <w:drawing>
          <wp:inline distT="0" distB="0" distL="0" distR="0">
            <wp:extent cx="2962910" cy="2038350"/>
            <wp:effectExtent l="0" t="0" r="0" b="0"/>
            <wp:docPr id="6"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title=""/>
                    <pic:cNvPicPr>
                      <a:picLocks noChangeAspect="1" noChangeArrowheads="1"/>
                    </pic:cNvPicPr>
                  </pic:nvPicPr>
                  <pic:blipFill>
                    <a:blip r:embed="rId7"/>
                    <a:srcRect l="-12" t="-17" r="-12" b="-17"/>
                    <a:stretch>
                      <a:fillRect/>
                    </a:stretch>
                  </pic:blipFill>
                  <pic:spPr bwMode="auto">
                    <a:xfrm>
                      <a:off x="0" y="0"/>
                      <a:ext cx="2962910" cy="2038350"/>
                    </a:xfrm>
                    <a:prstGeom prst="rect">
                      <a:avLst/>
                    </a:prstGeom>
                  </pic:spPr>
                </pic:pic>
              </a:graphicData>
            </a:graphic>
          </wp:inline>
        </w:drawing>
      </w:r>
    </w:p>
    <w:p>
      <w:pPr>
        <w:pStyle w:val="Normal"/>
        <w:rPr>
          <w:b/>
          <w:b/>
        </w:rPr>
      </w:pPr>
      <w:r>
        <w:rPr>
          <w:b/>
        </w:rPr>
        <w:t>Location of Colima, Mexico. https://upload.wikimedia.org/wikipedia/commons/thumb/a/a6/Colima_in_Mexico_%28location_map_scheme%29.svg/375px-Colima_in_Mexico_%28location_map_scheme%29.svg.png</w:t>
      </w:r>
    </w:p>
    <w:p>
      <w:pPr>
        <w:pStyle w:val="Normal"/>
        <w:rPr>
          <w:b/>
          <w:b/>
        </w:rPr>
      </w:pPr>
      <w:r>
        <w:rPr>
          <w:b/>
        </w:rPr>
        <w:t xml:space="preserve">GPS coordinates: </w:t>
      </w:r>
      <w:hyperlink r:id="rId8">
        <w:r>
          <w:rPr>
            <w:rStyle w:val="InternetLink"/>
            <w:color w:val="0000FF"/>
            <w:u w:val="single"/>
          </w:rPr>
          <w:t>19°10′N 103°53′W</w:t>
        </w:r>
      </w:hyperlink>
    </w:p>
    <w:p>
      <w:pPr>
        <w:pStyle w:val="Normal"/>
        <w:rPr>
          <w:b/>
          <w:b/>
        </w:rPr>
      </w:pPr>
      <w:r>
        <w:rPr>
          <w:b/>
        </w:rPr>
        <w:t xml:space="preserve">Cultural Affiliation: </w:t>
      </w:r>
    </w:p>
    <w:p>
      <w:pPr>
        <w:pStyle w:val="Normal"/>
        <w:rPr>
          <w:b/>
          <w:b/>
        </w:rPr>
      </w:pPr>
      <w:r>
        <w:rPr>
          <w:b/>
        </w:rPr>
        <w:t>Media: ceramic, kaolin.</w:t>
      </w:r>
    </w:p>
    <w:p>
      <w:pPr>
        <w:pStyle w:val="Normal"/>
        <w:rPr>
          <w:b/>
          <w:b/>
        </w:rPr>
      </w:pPr>
      <w:r>
        <w:rPr>
          <w:b/>
        </w:rPr>
        <w:t xml:space="preserve">Dimensions: </w:t>
      </w:r>
      <w:r>
        <w:rPr>
          <w:rFonts w:cs="Verdana" w:ascii="Verdana" w:hAnsi="Verdana"/>
          <w:b/>
          <w:bCs/>
          <w:color w:val="000000"/>
          <w:sz w:val="20"/>
          <w:szCs w:val="20"/>
        </w:rPr>
        <w:t>14" H</w:t>
      </w:r>
    </w:p>
    <w:p>
      <w:pPr>
        <w:pStyle w:val="Normal"/>
        <w:rPr>
          <w:b/>
          <w:b/>
        </w:rPr>
      </w:pPr>
      <w:r>
        <w:rPr>
          <w:b/>
        </w:rPr>
        <w:t xml:space="preserve">Weight:  </w:t>
      </w:r>
    </w:p>
    <w:p>
      <w:pPr>
        <w:pStyle w:val="Normal"/>
        <w:rPr>
          <w:b/>
          <w:b/>
        </w:rPr>
      </w:pPr>
      <w:r>
        <w:rPr>
          <w:b/>
        </w:rPr>
        <w:t xml:space="preserve">Condition: </w:t>
      </w:r>
      <w:r>
        <w:rPr>
          <w:rFonts w:cs="Verdana" w:ascii="Verdana" w:hAnsi="Verdana"/>
          <w:b/>
          <w:bCs/>
          <w:color w:val="000000"/>
          <w:sz w:val="20"/>
          <w:szCs w:val="20"/>
        </w:rPr>
        <w:t>A few invisible repairs to handle, encrusted surface</w:t>
      </w:r>
    </w:p>
    <w:p>
      <w:pPr>
        <w:pStyle w:val="Normal"/>
        <w:rPr/>
      </w:pPr>
      <w:r>
        <w:rPr>
          <w:b/>
        </w:rPr>
        <w:t xml:space="preserve">Provenance: </w:t>
      </w:r>
      <w:r>
        <w:rPr/>
        <w:t xml:space="preserve">Originally deposited in a shaft tomb. </w:t>
      </w:r>
      <w:r>
        <w:rPr>
          <w:rStyle w:val="Visnotescnt"/>
        </w:rPr>
        <w:t>Recovered from the ancient Colima culture in Western Mexico prior to 1970.</w:t>
      </w:r>
    </w:p>
    <w:p>
      <w:pPr>
        <w:pStyle w:val="Normal"/>
        <w:rPr>
          <w:b/>
          <w:b/>
        </w:rPr>
      </w:pPr>
      <w:r>
        <w:rPr>
          <w:b/>
        </w:rPr>
      </w:r>
    </w:p>
    <w:p>
      <w:pPr>
        <w:pStyle w:val="Normal"/>
        <w:rPr>
          <w:b/>
          <w:b/>
        </w:rPr>
      </w:pPr>
      <w:r>
        <w:rPr>
          <w:b/>
        </w:rPr>
        <w:t>Discussion:</w:t>
      </w:r>
    </w:p>
    <w:p>
      <w:pPr>
        <w:pStyle w:val="NormalWeb"/>
        <w:rPr/>
      </w:pPr>
      <w:r>
        <w:rPr/>
        <w:t xml:space="preserve">The Los Ortices period (500-300 BCE) established elements of the Colima culture, including shaft tombs and a distinctive ceramic style called </w:t>
      </w:r>
      <w:r>
        <w:rPr>
          <w:i/>
          <w:iCs/>
        </w:rPr>
        <w:t>rojo bruñido,</w:t>
      </w:r>
      <w:r>
        <w:rPr/>
        <w:t xml:space="preserve"> or burnished red. The following Comala or Colima culture developed at the Comala site (300-300 CE). The Colima people perfected burnished red pottery </w:t>
      </w:r>
      <w:r>
        <w:rPr>
          <w:i/>
          <w:iCs/>
        </w:rPr>
        <w:t>rojo bruñido</w:t>
      </w:r>
      <w:r>
        <w:rPr/>
        <w:t xml:space="preserve"> and produced terra cotta figurines of people and animals with distinctive fluid lines. The Comala site shows influence from Teotihuacan. Around 500 CE, another site in Armería developed along the river of the same name.</w:t>
      </w:r>
    </w:p>
    <w:p>
      <w:pPr>
        <w:pStyle w:val="Normal"/>
        <w:rPr>
          <w:b/>
          <w:b/>
        </w:rPr>
      </w:pPr>
      <w:r>
        <w:rPr>
          <w:b/>
        </w:rPr>
        <w:t>References:</w:t>
      </w:r>
    </w:p>
    <w:p>
      <w:pPr>
        <w:pStyle w:val="Normal"/>
        <w:rPr/>
      </w:pPr>
      <w:r>
        <w:rPr/>
        <w:t xml:space="preserve">Reynolds, Richard D. 1993. </w:t>
      </w:r>
      <w:r>
        <w:rPr>
          <w:i/>
        </w:rPr>
        <w:t>The Ancient Art of Colima, Mexico</w:t>
      </w:r>
      <w:r>
        <w:rPr/>
        <w:t>. Walnut Creek, Calif.: Squibob Press.</w:t>
      </w:r>
    </w:p>
    <w:p>
      <w:pPr>
        <w:pStyle w:val="Normal"/>
        <w:rPr/>
      </w:pPr>
      <w:r>
        <w:rPr/>
      </w:r>
      <w:r>
        <w:br w:type="page"/>
      </w:r>
    </w:p>
    <w:p>
      <w:pPr>
        <w:pStyle w:val="Heading1"/>
        <w:rPr/>
      </w:pPr>
      <w:r>
        <w:rPr/>
        <w:t>Order details</w:t>
      </w:r>
    </w:p>
    <w:p>
      <w:pPr>
        <w:pStyle w:val="Heading2"/>
        <w:rPr/>
      </w:pPr>
      <w:r>
        <w:rPr/>
        <w:t>Sales order</w:t>
      </w:r>
    </w:p>
    <w:p>
      <w:pPr>
        <w:pStyle w:val="Normal"/>
        <w:rPr/>
      </w:pPr>
      <w:r>
        <w:rPr/>
        <w:t xml:space="preserve">Sold by </w:t>
      </w:r>
      <w:hyperlink r:id="rId9" w:tgtFrame="_blank">
        <w:r>
          <w:rPr>
            <w:rStyle w:val="StrongEmphasis"/>
            <w:color w:val="0000FF"/>
            <w:u w:val="single"/>
          </w:rPr>
          <w:t>artemisgallery</w:t>
        </w:r>
      </w:hyperlink>
      <w:r>
        <w:rPr/>
        <w:t xml:space="preserve"> ( </w:t>
      </w:r>
      <w:hyperlink r:id="rId10" w:tgtFrame="_blank">
        <w:r>
          <w:rPr>
            <w:rStyle w:val="InternetLink"/>
          </w:rPr>
          <w:t>637</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Tuesday, Feb 2, 2016</w:t>
      </w:r>
      <w:r>
        <w:rPr>
          <w:rStyle w:val="Ngbindingngscope"/>
        </w:rPr>
        <w:t xml:space="preserve"> </w:t>
      </w:r>
    </w:p>
    <w:p>
      <w:pPr>
        <w:pStyle w:val="Normal"/>
        <w:rPr/>
      </w:pPr>
      <w:r>
        <w:rPr/>
        <w:drawing>
          <wp:inline distT="0" distB="0" distL="0" distR="0">
            <wp:extent cx="2419350" cy="3810000"/>
            <wp:effectExtent l="0" t="0" r="0" b="0"/>
            <wp:docPr id="7" name="381258126822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1258126822_itemImage" descr="" title=""/>
                    <pic:cNvPicPr>
                      <a:picLocks noChangeAspect="1" noChangeArrowheads="1"/>
                    </pic:cNvPicPr>
                  </pic:nvPicPr>
                  <pic:blipFill>
                    <a:blip r:embed="rId11"/>
                    <a:srcRect l="-23" t="-14" r="-23" b="-14"/>
                    <a:stretch>
                      <a:fillRect/>
                    </a:stretch>
                  </pic:blipFill>
                  <pic:spPr bwMode="auto">
                    <a:xfrm>
                      <a:off x="0" y="0"/>
                      <a:ext cx="2419350" cy="3810000"/>
                    </a:xfrm>
                    <a:prstGeom prst="rect">
                      <a:avLst/>
                    </a:prstGeom>
                  </pic:spPr>
                </pic:pic>
              </a:graphicData>
            </a:graphic>
          </wp:inline>
        </w:drawing>
      </w:r>
    </w:p>
    <w:p>
      <w:pPr>
        <w:pStyle w:val="Heading4"/>
        <w:spacing w:lineRule="atLeast" w:line="360"/>
        <w:ind w:start="90" w:hanging="0"/>
        <w:rPr/>
      </w:pPr>
      <w:hyperlink r:id="rId12" w:tgtFrame="_blank">
        <w:r>
          <w:rPr>
            <w:rStyle w:val="InternetLink"/>
          </w:rPr>
          <w:t>Colima Incensario in Form of Tlaloc</w:t>
        </w:r>
      </w:hyperlink>
      <w:r>
        <w:rPr/>
        <w:t xml:space="preserve"> </w:t>
      </w:r>
    </w:p>
    <w:tbl>
      <w:tblPr>
        <w:tblW w:w="3197" w:type="dxa"/>
        <w:jc w:val="start"/>
        <w:tblInd w:w="-45" w:type="dxa"/>
        <w:tblBorders/>
        <w:tblCellMar>
          <w:top w:w="15" w:type="dxa"/>
          <w:start w:w="15" w:type="dxa"/>
          <w:bottom w:w="15" w:type="dxa"/>
          <w:end w:w="15" w:type="dxa"/>
        </w:tblCellMar>
      </w:tblPr>
      <w:tblGrid>
        <w:gridCol w:w="1682"/>
        <w:gridCol w:w="1515"/>
      </w:tblGrid>
      <w:tr>
        <w:trPr/>
        <w:tc>
          <w:tcPr>
            <w:tcW w:w="1682" w:type="dxa"/>
            <w:tcBorders/>
            <w:shd w:fill="auto" w:val="clear"/>
            <w:vAlign w:val="center"/>
          </w:tcPr>
          <w:p>
            <w:pPr>
              <w:pStyle w:val="Normal"/>
              <w:rPr/>
            </w:pPr>
            <w:r>
              <w:rPr/>
              <w:t>Item price</w:t>
            </w:r>
          </w:p>
        </w:tc>
        <w:tc>
          <w:tcPr>
            <w:tcW w:w="1515" w:type="dxa"/>
            <w:tcBorders/>
            <w:shd w:fill="auto" w:val="clear"/>
            <w:vAlign w:val="center"/>
          </w:tcPr>
          <w:p>
            <w:pPr>
              <w:pStyle w:val="Normal"/>
              <w:rPr/>
            </w:pPr>
            <w:r>
              <w:rPr/>
              <w:t>$595.00</w:t>
            </w:r>
          </w:p>
        </w:tc>
      </w:tr>
      <w:tr>
        <w:trPr/>
        <w:tc>
          <w:tcPr>
            <w:tcW w:w="1682" w:type="dxa"/>
            <w:tcBorders/>
            <w:shd w:fill="auto" w:val="clear"/>
            <w:vAlign w:val="center"/>
          </w:tcPr>
          <w:p>
            <w:pPr>
              <w:pStyle w:val="Normal"/>
              <w:rPr/>
            </w:pPr>
            <w:r>
              <w:rPr/>
              <w:t>Quantity</w:t>
            </w:r>
          </w:p>
        </w:tc>
        <w:tc>
          <w:tcPr>
            <w:tcW w:w="1515" w:type="dxa"/>
            <w:tcBorders/>
            <w:shd w:fill="auto" w:val="clear"/>
            <w:vAlign w:val="center"/>
          </w:tcPr>
          <w:p>
            <w:pPr>
              <w:pStyle w:val="Normal"/>
              <w:rPr/>
            </w:pPr>
            <w:r>
              <w:rPr/>
              <w:t>1</w:t>
            </w:r>
          </w:p>
        </w:tc>
      </w:tr>
      <w:tr>
        <w:trPr/>
        <w:tc>
          <w:tcPr>
            <w:tcW w:w="1682" w:type="dxa"/>
            <w:tcBorders/>
            <w:shd w:fill="auto" w:val="clear"/>
            <w:vAlign w:val="center"/>
          </w:tcPr>
          <w:p>
            <w:pPr>
              <w:pStyle w:val="Normal"/>
              <w:rPr/>
            </w:pPr>
            <w:r>
              <w:rPr/>
              <w:t>Item number</w:t>
            </w:r>
          </w:p>
        </w:tc>
        <w:tc>
          <w:tcPr>
            <w:tcW w:w="1515" w:type="dxa"/>
            <w:tcBorders/>
            <w:shd w:fill="auto" w:val="clear"/>
            <w:vAlign w:val="center"/>
          </w:tcPr>
          <w:p>
            <w:pPr>
              <w:pStyle w:val="Normal"/>
              <w:rPr/>
            </w:pPr>
            <w:r>
              <w:rPr/>
              <w:t>381258126822</w:t>
            </w:r>
          </w:p>
        </w:tc>
      </w:tr>
      <w:tr>
        <w:trPr/>
        <w:tc>
          <w:tcPr>
            <w:tcW w:w="1682" w:type="dxa"/>
            <w:tcBorders/>
            <w:shd w:fill="auto" w:val="clear"/>
            <w:vAlign w:val="center"/>
          </w:tcPr>
          <w:p>
            <w:pPr>
              <w:pStyle w:val="Normal"/>
              <w:rPr/>
            </w:pPr>
            <w:r>
              <w:rPr/>
              <w:t>Shipping service</w:t>
            </w:r>
          </w:p>
        </w:tc>
        <w:tc>
          <w:tcPr>
            <w:tcW w:w="1515" w:type="dxa"/>
            <w:tcBorders/>
            <w:shd w:fill="auto" w:val="clear"/>
            <w:vAlign w:val="center"/>
          </w:tcPr>
          <w:p>
            <w:pPr>
              <w:pStyle w:val="Normal"/>
              <w:rPr/>
            </w:pPr>
            <w:r>
              <w:rPr>
                <w:rStyle w:val="Ngbindingngscope"/>
              </w:rPr>
              <w:t>UPS Ground</w:t>
            </w:r>
            <w:r>
              <w:rPr>
                <w:rStyle w:val="Ngscope"/>
              </w:rPr>
              <w:t xml:space="preserve"> </w:t>
            </w:r>
          </w:p>
        </w:tc>
      </w:tr>
    </w:tbl>
    <w:p>
      <w:pPr>
        <w:pStyle w:val="Heading2"/>
        <w:spacing w:lineRule="atLeast" w:line="312"/>
        <w:rPr/>
      </w:pPr>
      <w:r>
        <w:rPr/>
        <w:t>Shipping address</w:t>
      </w:r>
    </w:p>
    <w:p>
      <w:pPr>
        <w:pStyle w:val="Normal"/>
        <w:spacing w:lineRule="atLeast" w:line="312"/>
        <w:rPr/>
      </w:pPr>
      <w:r>
        <w:rPr/>
        <w:br/>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w:t>
      </w:r>
    </w:p>
    <w:p>
      <w:pPr>
        <w:pStyle w:val="Heading2"/>
        <w:rPr/>
      </w:pPr>
      <w:r>
        <w:rPr/>
        <w:t>Order total</w:t>
      </w:r>
    </w:p>
    <w:p>
      <w:pPr>
        <w:pStyle w:val="Normal"/>
        <w:rPr/>
      </w:pPr>
      <w:r>
        <w:rPr/>
      </w:r>
    </w:p>
    <w:tbl>
      <w:tblPr>
        <w:tblW w:w="1797" w:type="dxa"/>
        <w:jc w:val="start"/>
        <w:tblInd w:w="-45" w:type="dxa"/>
        <w:tblBorders/>
        <w:tblCellMar>
          <w:top w:w="15" w:type="dxa"/>
          <w:start w:w="15" w:type="dxa"/>
          <w:bottom w:w="15" w:type="dxa"/>
          <w:end w:w="15" w:type="dxa"/>
        </w:tblCellMar>
      </w:tblPr>
      <w:tblGrid>
        <w:gridCol w:w="942"/>
        <w:gridCol w:w="855"/>
      </w:tblGrid>
      <w:tr>
        <w:trPr/>
        <w:tc>
          <w:tcPr>
            <w:tcW w:w="942" w:type="dxa"/>
            <w:tcBorders/>
            <w:shd w:fill="auto" w:val="clear"/>
            <w:vAlign w:val="center"/>
          </w:tcPr>
          <w:p>
            <w:pPr>
              <w:pStyle w:val="Normal"/>
              <w:rPr/>
            </w:pPr>
            <w:r>
              <w:rPr/>
              <w:t>Subtotal</w:t>
            </w:r>
          </w:p>
        </w:tc>
        <w:tc>
          <w:tcPr>
            <w:tcW w:w="855" w:type="dxa"/>
            <w:tcBorders/>
            <w:shd w:fill="auto" w:val="clear"/>
            <w:vAlign w:val="center"/>
          </w:tcPr>
          <w:p>
            <w:pPr>
              <w:pStyle w:val="Normal"/>
              <w:rPr/>
            </w:pPr>
            <w:r>
              <w:rPr>
                <w:rStyle w:val="Ngbinding"/>
              </w:rPr>
              <w:t>$595.00</w:t>
            </w:r>
          </w:p>
        </w:tc>
      </w:tr>
      <w:tr>
        <w:trPr/>
        <w:tc>
          <w:tcPr>
            <w:tcW w:w="942" w:type="dxa"/>
            <w:tcBorders/>
            <w:shd w:fill="auto" w:val="clear"/>
            <w:vAlign w:val="center"/>
          </w:tcPr>
          <w:p>
            <w:pPr>
              <w:pStyle w:val="Normal"/>
              <w:rPr/>
            </w:pPr>
            <w:r>
              <w:rPr/>
              <w:t>Shipping</w:t>
            </w:r>
          </w:p>
        </w:tc>
        <w:tc>
          <w:tcPr>
            <w:tcW w:w="855" w:type="dxa"/>
            <w:tcBorders/>
            <w:shd w:fill="auto" w:val="clear"/>
            <w:vAlign w:val="center"/>
          </w:tcPr>
          <w:p>
            <w:pPr>
              <w:pStyle w:val="Normal"/>
              <w:rPr/>
            </w:pPr>
            <w:r>
              <w:rPr>
                <w:rStyle w:val="Ngbindingngscope"/>
              </w:rPr>
              <w:t>$44.99</w:t>
            </w:r>
            <w:r>
              <w:rPr/>
              <w:t xml:space="preserve"> </w:t>
            </w:r>
          </w:p>
        </w:tc>
      </w:tr>
    </w:tbl>
    <w:p>
      <w:pPr>
        <w:pStyle w:val="Normal"/>
        <w:spacing w:before="0" w:after="540"/>
        <w:rPr>
          <w:b/>
          <w:b/>
          <w:bCs/>
        </w:rPr>
      </w:pPr>
      <w:r>
        <w:rPr>
          <w:b/>
          <w:bCs/>
        </w:rPr>
        <w:t>Total</w:t>
      </w:r>
    </w:p>
    <w:p>
      <w:pPr>
        <w:pStyle w:val="Normal"/>
        <w:spacing w:before="0" w:after="540"/>
        <w:rPr/>
      </w:pPr>
      <w:r>
        <w:rPr>
          <w:rStyle w:val="Ordertotalcostngbinding"/>
        </w:rPr>
        <w:t>$639.99</w:t>
      </w:r>
    </w:p>
    <w:p>
      <w:pPr>
        <w:pStyle w:val="Normal"/>
        <w:rPr/>
      </w:pPr>
      <w:r>
        <w:rPr/>
      </w:r>
    </w:p>
    <w:p>
      <w:pPr>
        <w:pStyle w:val="Normal"/>
        <w:rPr/>
      </w:pPr>
      <w:r>
        <w:rPr/>
        <w:t>Order placed on</w:t>
      </w:r>
    </w:p>
    <w:p>
      <w:pPr>
        <w:pStyle w:val="Normal"/>
        <w:rPr/>
      </w:pPr>
      <w:r>
        <w:rPr>
          <w:rStyle w:val="Ngbindingngscope"/>
        </w:rPr>
        <w:t>Monday, Jan 25, 2016</w:t>
      </w:r>
      <w:r>
        <w:rPr/>
        <w:t xml:space="preserve"> </w:t>
      </w:r>
    </w:p>
    <w:p>
      <w:pPr>
        <w:pStyle w:val="Normal"/>
        <w:rPr/>
      </w:pPr>
      <w:r>
        <w:rPr/>
        <w:t>Payment method</w:t>
      </w:r>
    </w:p>
    <w:p>
      <w:pPr>
        <w:pStyle w:val="Normal"/>
        <w:rPr/>
      </w:pPr>
      <w:r>
        <w:rPr>
          <w:rStyle w:val="Ngbindingngscope"/>
        </w:rPr>
        <w:t>PayPal</w:t>
      </w:r>
      <w:r>
        <w:rPr/>
        <w:t xml:space="preserve"> </w:t>
      </w:r>
    </w:p>
    <w:p>
      <w:pPr>
        <w:pStyle w:val="Normal"/>
        <w:rPr/>
      </w:pPr>
      <w:r>
        <w:rPr/>
        <w:t>Payment date</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Verdana">
    <w:charset w:val="00" w:characterSet="windows-1252"/>
    <w:family w:val="swiss"/>
    <w:pitch w:val="variable"/>
  </w:font>
  <w:font w:name="Helvetica">
    <w:altName w:val="Arial"/>
    <w:charset w:val="00" w:characterSet="windows-1252"/>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20"/>
        <w:szCs w:val="23"/>
        <w:rFonts w:cs="Symbol"/>
        <w:color w:val="44707B"/>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num w:numId="1">
    <w:abstractNumId w:val="1"/>
  </w:num>
  <w:num w:numId="2">
    <w:abstractNumId w:val="2"/>
  </w:num>
</w:numbering>
</file>

<file path=word/settings.xml><?xml version="1.0" encoding="utf-8"?>
<w:settings xmlns:w="http://schemas.openxmlformats.org/wordprocessingml/2006/main">
  <w:zoom w:percent="7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color w:val="44707B"/>
      <w:sz w:val="20"/>
      <w:szCs w:val="23"/>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Visnotescnt">
    <w:name w:val="visnotesc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hyperlink" Target="https://tools.wmflabs.org/geohack/geohack.php?pagename=Colima&amp;params=19_10_N_103_53_W_type:adm1st_region:MX" TargetMode="External"/><Relationship Id="rId9" Type="http://schemas.openxmlformats.org/officeDocument/2006/relationships/hyperlink" Target="http://myworld.ebay.com/artemisgallery" TargetMode="External"/><Relationship Id="rId10" Type="http://schemas.openxmlformats.org/officeDocument/2006/relationships/hyperlink" Target="http://feedback.ebay.com/ws/eBayISAPI.dll?ViewFeedback&amp;userid=artemisgallery" TargetMode="External"/><Relationship Id="rId11" Type="http://schemas.openxmlformats.org/officeDocument/2006/relationships/image" Target="media/image7.jpeg"/><Relationship Id="rId12" Type="http://schemas.openxmlformats.org/officeDocument/2006/relationships/hyperlink" Target="http://www.ebay.com/itm/381258126822"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2018-07-19T14:32:00Z</dcterms:created>
  <dc:creator>owner</dc:creator>
  <dc:description/>
  <cp:keywords/>
  <dc:language>en-US</dc:language>
  <cp:lastModifiedBy>Ralph Coffman</cp:lastModifiedBy>
  <dcterms:modified xsi:type="dcterms:W3CDTF">2018-07-19T14:32:00Z</dcterms:modified>
  <cp:revision>2</cp:revision>
  <dc:subject/>
  <dc:title>MEX-Colima-Tlaloc-200 BCE-200CE</dc:title>
</cp:coreProperties>
</file>