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Handle-Arch Foot-H 3.41-R 2</w:t>
      </w:r>
    </w:p>
    <w:p>
      <w:pPr>
        <w:pStyle w:val="Normal"/>
        <w:rPr/>
      </w:pPr>
      <w:r>
        <w:rPr/>
        <w:t>FD291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length 5.7CM/2.24Inches, width 3.1CM/1.22Inches</w:t>
      </w:r>
    </w:p>
    <w:p>
      <w:pPr>
        <w:pStyle w:val="Normal"/>
        <w:rPr/>
      </w:pPr>
      <w:r>
        <w:rPr>
          <w:sz w:val="27"/>
          <w:szCs w:val="27"/>
        </w:rPr>
        <w:t>垣釿桥足布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垣釿</w:t>
      </w:r>
      <w:r>
        <w:rPr>
          <w:sz w:val="27"/>
          <w:szCs w:val="27"/>
        </w:rPr>
        <w:t>","YuanJin"Bridge-foot Spade-shape Coin."</w:t>
      </w:r>
      <w:r>
        <w:rPr>
          <w:sz w:val="27"/>
          <w:szCs w:val="27"/>
        </w:rPr>
        <w:t>垣</w:t>
      </w:r>
      <w:r>
        <w:rPr>
          <w:sz w:val="27"/>
          <w:szCs w:val="27"/>
        </w:rPr>
        <w:t>"place of Wei Nation.Now it is the SouthWest of Qu Country,ShanXi Province.."</w:t>
      </w:r>
      <w:r>
        <w:rPr>
          <w:sz w:val="27"/>
          <w:szCs w:val="27"/>
        </w:rPr>
        <w:t>釿</w:t>
      </w:r>
      <w:r>
        <w:rPr>
          <w:sz w:val="27"/>
          <w:szCs w:val="27"/>
        </w:rPr>
        <w:t>"JIN,Ancient metals weight,as well as currency.This one was made in the WEI Nation,while used in the 3JIN and 2Zhou area.</w:t>
      </w:r>
    </w:p>
    <w:p>
      <w:pPr>
        <w:pStyle w:val="Normal"/>
        <w:rPr/>
      </w:pPr>
      <w:r>
        <w:rPr/>
        <w:drawing>
          <wp:inline distT="0" distB="0" distL="0" distR="0">
            <wp:extent cx="4326890" cy="708025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993457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9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tbl>
      <w:tblPr>
        <w:tblW w:w="12015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015"/>
      </w:tblGrid>
      <w:tr>
        <w:trPr/>
        <w:tc>
          <w:tcPr>
            <w:tcW w:w="12015" w:type="dxa"/>
            <w:tcBorders/>
            <w:shd w:fill="auto" w:val="clear"/>
            <w:vAlign w:val="center"/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1985"/>
            </w:tblGrid>
            <w:tr>
              <w:trPr/>
              <w:tc>
                <w:tcPr>
                  <w:tcW w:w="11985" w:type="dxa"/>
                  <w:tcBorders/>
                  <w:shd w:fill="auto" w:val="clear"/>
                  <w:vAlign w:val="center"/>
                </w:tcPr>
                <w:tbl>
                  <w:tblPr>
                    <w:tblW w:w="10029" w:type="dxa"/>
                    <w:jc w:val="start"/>
                    <w:tblInd w:w="72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366"/>
                    <w:gridCol w:w="2430"/>
                    <w:gridCol w:w="2198"/>
                    <w:gridCol w:w="5035"/>
                  </w:tblGrid>
                  <w:tr>
                    <w:trPr/>
                    <w:tc>
                      <w:tcPr>
                        <w:tcW w:w="366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cs="Symbol"/>
                          </w:rPr>
                          <w:t></w:t>
                        </w:r>
                        <w:r>
                          <w:rPr>
                            <w:rFonts w:eastAsia="Times New Roman"/>
                          </w:rPr>
                          <w:t xml:space="preserve">  </w:t>
                        </w:r>
                        <w:r>
                          <w:rPr>
                            <w:rStyle w:val="Gsprvibktoarrnewred"/>
                          </w:rPr>
                          <w:t> 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3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cs="Symbol"/>
                          </w:rPr>
                          <w:t></w:t>
                        </w:r>
                        <w:r>
                          <w:rPr>
                            <w:rFonts w:eastAsia="Times New Roman"/>
                          </w:rPr>
                          <w:t xml:space="preserve">  </w:t>
                        </w:r>
                        <w:hyperlink r:id="rId4">
                          <w:r>
                            <w:rPr>
                              <w:rStyle w:val="InternetLink"/>
                            </w:rPr>
                            <w:t>Back to previous page</w:t>
                          </w:r>
                        </w:hyperlink>
                        <w:r>
                          <w:rPr/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cs="Symbol"/>
                          </w:rPr>
                          <w:t></w:t>
                        </w:r>
                        <w:r>
                          <w:rPr>
                            <w:rFonts w:eastAsia="Times New Roman"/>
                          </w:rPr>
                          <w:t xml:space="preserve">  </w:t>
                        </w:r>
                        <w:r>
                          <w:rPr/>
                          <w:t xml:space="preserve">|Listed in category:  </w:t>
                        </w:r>
                      </w:p>
                    </w:tc>
                    <w:tc>
                      <w:tcPr>
                        <w:tcW w:w="5035" w:type="dxa"/>
                        <w:tcBorders/>
                        <w:shd w:fill="auto" w:val="clea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15" w:type="dxa"/>
                            <w:start w:w="15" w:type="dxa"/>
                            <w:bottom w:w="15" w:type="dxa"/>
                            <w:end w:w="15" w:type="dxa"/>
                          </w:tblCellMar>
                        </w:tblPr>
                        <w:tblGrid>
                          <w:gridCol w:w="5005"/>
                        </w:tblGrid>
                        <w:tr>
                          <w:trPr/>
                          <w:tc>
                            <w:tcPr>
                              <w:tcW w:w="5005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Heading2"/>
                                <w:numPr>
                                  <w:ilvl w:val="1"/>
                                  <w:numId w:val="2"/>
                                </w:numPr>
                                <w:spacing w:before="0" w:after="280"/>
                                <w:ind w:start="720" w:hanging="360"/>
                                <w:rPr/>
                              </w:pPr>
                              <w:hyperlink r:id="rId5">
                                <w:r>
                                  <w:rPr>
                                    <w:rStyle w:val="InternetLink"/>
                                  </w:rPr>
                                  <w:t>Coins &amp; Paper Money</w:t>
                                </w:r>
                              </w:hyperlink>
                            </w:p>
                            <w:p>
                              <w:pPr>
                                <w:pStyle w:val="Heading2"/>
                                <w:numPr>
                                  <w:ilvl w:val="1"/>
                                  <w:numId w:val="2"/>
                                </w:numPr>
                                <w:spacing w:before="0" w:after="280"/>
                                <w:ind w:start="720" w:hanging="360"/>
                                <w:rPr/>
                              </w:pPr>
                              <w:r>
                                <w:rPr/>
                                <w:t>&gt;</w:t>
                              </w:r>
                            </w:p>
                            <w:p>
                              <w:pPr>
                                <w:pStyle w:val="Heading2"/>
                                <w:numPr>
                                  <w:ilvl w:val="1"/>
                                  <w:numId w:val="2"/>
                                </w:numPr>
                                <w:spacing w:before="0" w:after="280"/>
                                <w:ind w:start="720" w:hanging="360"/>
                                <w:rPr/>
                              </w:pPr>
                              <w:hyperlink r:id="rId6">
                                <w:r>
                                  <w:rPr>
                                    <w:rStyle w:val="InternetLink"/>
                                  </w:rPr>
                                  <w:t>Coins: Ancient</w:t>
                                </w:r>
                              </w:hyperlink>
                            </w:p>
                            <w:p>
                              <w:pPr>
                                <w:pStyle w:val="Heading2"/>
                                <w:numPr>
                                  <w:ilvl w:val="1"/>
                                  <w:numId w:val="2"/>
                                </w:numPr>
                                <w:spacing w:before="0" w:after="280"/>
                                <w:ind w:start="720" w:hanging="360"/>
                                <w:rPr/>
                              </w:pPr>
                              <w:r>
                                <w:rPr/>
                                <w:t>&gt;</w:t>
                              </w:r>
                            </w:p>
                            <w:p>
                              <w:pPr>
                                <w:pStyle w:val="Heading2"/>
                                <w:numPr>
                                  <w:ilvl w:val="1"/>
                                  <w:numId w:val="2"/>
                                </w:numPr>
                                <w:spacing w:before="280" w:after="0"/>
                                <w:ind w:start="720" w:hanging="360"/>
                                <w:rPr/>
                              </w:pPr>
                              <w:hyperlink r:id="rId7">
                                <w:r>
                                  <w:rPr>
                                    <w:rStyle w:val="InternetLink"/>
                                  </w:rPr>
                                  <w:t>Other</w:t>
                                </w:r>
                              </w:hyperlink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ind w:start="72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Heading3"/>
              <w:rPr/>
            </w:pPr>
            <w:r>
              <w:rPr>
                <w:rStyle w:val="Msgtextalign"/>
              </w:rPr>
              <w:t xml:space="preserve">You won this auction. </w:t>
            </w:r>
            <w:r>
              <w:rPr>
                <w:rStyle w:val="Sprtrsprtrie"/>
              </w:rPr>
              <w:t>|</w:t>
            </w:r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View order details</w:t>
              </w:r>
            </w:hyperlink>
            <w:r>
              <w:rPr/>
              <w:t xml:space="preserve"> </w:t>
            </w:r>
          </w:p>
          <w:tbl>
            <w:tblPr>
              <w:tblW w:w="5000" w:type="pct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0442"/>
              <w:gridCol w:w="1447"/>
              <w:gridCol w:w="96"/>
            </w:tblGrid>
            <w:tr>
              <w:trPr/>
              <w:tc>
                <w:tcPr>
                  <w:tcW w:w="11985" w:type="dxa"/>
                  <w:gridSpan w:val="3"/>
                  <w:tcBorders/>
                  <w:shd w:fill="auto" w:val="clear"/>
                  <w:vAlign w:val="center"/>
                </w:tcPr>
                <w:p>
                  <w:pPr>
                    <w:pStyle w:val="Heading1"/>
                    <w:spacing w:before="0" w:after="280"/>
                    <w:rPr/>
                  </w:pPr>
                  <w:r>
                    <w:rPr>
                      <w:rStyle w:val="Ghdn"/>
                    </w:rPr>
                    <w:t>Details about  </w:t>
                  </w:r>
                  <w:r>
                    <w:rPr/>
                    <w:t>VINTAGE WarringStatesPeriod CITY MINT CURRENCY MONEY BRONZE SPADESHAPE COIN</w:t>
                  </w:r>
                  <w:r>
                    <w:rPr/>
                    <w:t>垣釿桥足布</w:t>
                  </w:r>
                </w:p>
                <w:p>
                  <w:pPr>
                    <w:pStyle w:val="Normal"/>
                    <w:rPr/>
                  </w:pPr>
                  <w:hyperlink r:id="rId9">
                    <w:r>
                      <w:rPr>
                        <w:rStyle w:val="InternetLink"/>
                      </w:rPr>
                      <w:t>See original listing</w:t>
                    </w:r>
                  </w:hyperlink>
                  <w:r>
                    <w:rPr>
                      <w:rStyle w:val="Viinllnkvicvipprel3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0442" w:type="dxa"/>
                  <w:vMerge w:val="restart"/>
                  <w:tcBorders/>
                  <w:shd w:fill="auto" w:val="clear"/>
                  <w:tcMar>
                    <w:end w:w="150" w:type="dxa"/>
                  </w:tcMar>
                </w:tcPr>
                <w:tbl>
                  <w:tblPr>
                    <w:tblW w:w="10180" w:type="dxa"/>
                    <w:jc w:val="start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10180"/>
                  </w:tblGrid>
                  <w:tr>
                    <w:trPr/>
                    <w:tc>
                      <w:tcPr>
                        <w:tcW w:w="1018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Style w:val="InternetLink"/>
                          </w:rPr>
                        </w:pPr>
                        <w:hyperlink r:id="rId10">
                          <w:r>
                            <w:rPr/>
                          </w:r>
                        </w:hyperlink>
                      </w:p>
                      <w:p>
                        <w:pPr>
                          <w:pStyle w:val="Normal"/>
                          <w:rPr>
                            <w:rStyle w:val="InternetLink"/>
                          </w:rPr>
                        </w:pPr>
                        <w:hyperlink r:id="rId11">
                          <w:r>
                            <w:rPr/>
                          </w:r>
                        </w:hyperlink>
                      </w:p>
                      <w:tbl>
                        <w:tblPr>
                          <w:tblW w:w="10090" w:type="dxa"/>
                          <w:jc w:val="start"/>
                          <w:tblInd w:w="0" w:type="dxa"/>
                          <w:tblBorders/>
                          <w:tblCellMar>
                            <w:top w:w="15" w:type="dxa"/>
                            <w:start w:w="15" w:type="dxa"/>
                            <w:bottom w:w="15" w:type="dxa"/>
                            <w:end w:w="15" w:type="dxa"/>
                          </w:tblCellMar>
                        </w:tblPr>
                        <w:tblGrid>
                          <w:gridCol w:w="10090"/>
                        </w:tblGrid>
                        <w:tr>
                          <w:trPr/>
                          <w:tc>
                            <w:tcPr>
                              <w:tcW w:w="1009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6350000" cy="5105400"/>
                                    <wp:effectExtent l="0" t="0" r="0" b="0"/>
                                    <wp:docPr id="3" name="icImg" descr="" titl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icImg" descr="" title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 l="-5" t="-7" r="-5" b="-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00" cy="510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914400" cy="914400"/>
                              <wp:effectExtent l="0" t="0" r="0" b="0"/>
                              <wp:docPr id="4" name="Image2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 l="-29" t="-29" r="-29" b="-2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Item condition: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--</w:t>
                  </w:r>
                  <w:r>
                    <w:rPr>
                      <w:rStyle w:val="Ghdnvinocond"/>
                    </w:rPr>
                    <w:t>not specified</w:t>
                  </w:r>
                </w:p>
                <w:p>
                  <w:pPr>
                    <w:pStyle w:val="Itemdescription"/>
                    <w:spacing w:before="280" w:after="0"/>
                    <w:rPr/>
                  </w:pPr>
                  <w:r>
                    <w:rPr>
                      <w:rStyle w:val="Itemdescriptionquotes"/>
                    </w:rPr>
                    <w:t>“</w:t>
                  </w:r>
                  <w:r>
                    <w:rPr>
                      <w:rStyle w:val="Topitmcnddscmsg"/>
                    </w:rPr>
                    <w:t>Rust on the body,Museum quality</w:t>
                  </w:r>
                  <w:r>
                    <w:rPr>
                      <w:rStyle w:val="Itemdescriptionquotes"/>
                    </w:rPr>
                    <w:t>”</w:t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Ended: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Jan 08, 2014</w:t>
                  </w:r>
                  <w:r>
                    <w:rPr>
                      <w:rStyle w:val="Endeddate"/>
                    </w:rPr>
                    <w:t xml:space="preserve"> 21:21:10 PST</w:t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Winning bid: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Style w:val="Notranslatevivrcvipprice"/>
                    </w:rPr>
                    <w:t>US $78.00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[ </w:t>
                  </w:r>
                  <w:hyperlink r:id="rId14">
                    <w:r>
                      <w:rPr>
                        <w:rStyle w:val="InternetLink"/>
                      </w:rPr>
                      <w:t>12 bids</w:t>
                    </w:r>
                  </w:hyperlink>
                  <w:r>
                    <w:rPr/>
                    <w:t xml:space="preserve"> ] </w:t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Shipping: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Style w:val="Notranslateshcst"/>
                    </w:rPr>
                    <w:t xml:space="preserve">$10.00 </w:t>
                  </w:r>
                  <w:r>
                    <w:rPr/>
                    <w:t xml:space="preserve">Economy Shipping from outside US </w:t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Item location: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GuangZhou, China</w:t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442" w:type="dxa"/>
                  <w:vMerge w:val="continue"/>
                  <w:tcBorders/>
                  <w:shd w:fill="auto" w:val="clear"/>
                  <w:tcMar>
                    <w:end w:w="15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Seller:</w:t>
                  </w:r>
                </w:p>
                <w:p>
                  <w:pPr>
                    <w:pStyle w:val="Normal"/>
                    <w:rPr/>
                  </w:pPr>
                  <w:hyperlink r:id="rId15">
                    <w:r>
                      <w:rPr>
                        <w:rStyle w:val="Mbgnw"/>
                        <w:color w:val="0000FF"/>
                        <w:u w:val="single"/>
                      </w:rPr>
                      <w:t>bcculture</w:t>
                    </w:r>
                  </w:hyperlink>
                  <w:r>
                    <w:rPr/>
                    <w:t xml:space="preserve"> </w:t>
                  </w:r>
                  <w:r>
                    <w:rPr>
                      <w:rStyle w:val="Mbgl"/>
                    </w:rPr>
                    <w:t>(</w:t>
                  </w:r>
                  <w:hyperlink r:id="rId16">
                    <w:r>
                      <w:rPr>
                        <w:rStyle w:val="InternetLink"/>
                      </w:rPr>
                      <w:t>84</w:t>
                    </w:r>
                  </w:hyperlink>
                  <w:r>
                    <w:rPr>
                      <w:rStyle w:val="Mbgl"/>
                    </w:rPr>
                    <w:t xml:space="preserve"> )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Style w:val="Watchpipe"/>
                    </w:rPr>
                    <w:t>|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rPr/>
                  </w:pPr>
                  <w:hyperlink r:id="rId17">
                    <w:r>
                      <w:rPr>
                        <w:rStyle w:val="InternetLink"/>
                      </w:rPr>
                      <w:t>Seller's other items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Gsprvibktoarrnewred">
    <w:name w:val="gspr vi-bkto-arrnewred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sgtextalign">
    <w:name w:val="msgtextalign"/>
    <w:basedOn w:val="DefaultParagraphFont"/>
    <w:qFormat/>
    <w:rPr/>
  </w:style>
  <w:style w:type="character" w:styleId="Sprtrsprtrie">
    <w:name w:val="sprtr sprtrie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Viinllnkvicvipprel3">
    <w:name w:val="vi-inl-lnk vi-cvip-prel3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vivrcvipprice">
    <w:name w:val="notranslate vi-vr-cvipprice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Watchpipe">
    <w:name w:val="watchpi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javascript:history.go(-1)" TargetMode="External"/><Relationship Id="rId5" Type="http://schemas.openxmlformats.org/officeDocument/2006/relationships/hyperlink" Target="http://www.ebay.com/sch/Coins-Paper-Money-/11116/i.html" TargetMode="External"/><Relationship Id="rId6" Type="http://schemas.openxmlformats.org/officeDocument/2006/relationships/hyperlink" Target="http://www.ebay.com/sch/Coins-Ancient-/4733/i.html" TargetMode="External"/><Relationship Id="rId7" Type="http://schemas.openxmlformats.org/officeDocument/2006/relationships/hyperlink" Target="http://www.ebay.com/sch/Other-/532/i.html" TargetMode="External"/><Relationship Id="rId8" Type="http://schemas.openxmlformats.org/officeDocument/2006/relationships/hyperlink" Target="http://payments.ebay.com/ws/eBayISAPI.dll?ViewPaymentStatus&amp;transid=0&amp;ssPageName=STRK:MESO:VPS&amp;itemId=251416092743" TargetMode="External"/><Relationship Id="rId9" Type="http://schemas.openxmlformats.org/officeDocument/2006/relationships/hyperlink" Target="http://www.ebay.com/itm/VINTAGE-WarringStatesPeriod-CITY-MINT-CURRENCY-MONEY-BRONZE-SPADESHAPE-COIN-/251416092743?nma=true&amp;si=5L4Tlo08dyY9pQflhUEb6fWvMTI%253D&amp;orig_cvip=true&amp;rt=nc&amp;_trksid=p2047675.l2557" TargetMode="External"/><Relationship Id="rId10" Type="http://schemas.openxmlformats.org/officeDocument/2006/relationships/hyperlink" Target="http://www.ebay.com/itm/VINTAGE-WarringStatesPeriod-CITY-MINT-CURRENCY-MONEY-BRONZE-SPADESHAPE-COIN-/251416092743?nma=true&amp;si=5L4Tlo08dyY9pQflhUEb6fWvMTI%253D&amp;orig_cvip=true&amp;rt=nc&amp;_trksid=p2047675.l2557" TargetMode="External"/><Relationship Id="rId11" Type="http://schemas.openxmlformats.org/officeDocument/2006/relationships/hyperlink" Target="http://www.ebay.com/itm/VINTAGE-WarringStatesPeriod-CITY-MINT-CURRENCY-MONEY-BRONZE-SPADESHAPE-COIN-/251416092743?nma=true&amp;si=5L4Tlo08dyY9pQflhUEb6fWvMTI%253D&amp;orig_cvip=true&amp;rt=nc&amp;_trksid=p2047675.l2557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hyperlink" Target="http://offer.ebay.com/ws/eBayISAPI.dll?ViewBids&amp;_trksid=p2047675.l2565&amp;rt=nc&amp;item=251416092743" TargetMode="External"/><Relationship Id="rId15" Type="http://schemas.openxmlformats.org/officeDocument/2006/relationships/hyperlink" Target="http://myworld.ebay.com/bcculture?_trksid=p2047675.l2559" TargetMode="External"/><Relationship Id="rId16" Type="http://schemas.openxmlformats.org/officeDocument/2006/relationships/hyperlink" Target="http://feedback.ebay.com/ws/eBayISAPI.dll?ViewFeedback&amp;userid=bcculture&amp;iid=251416092743&amp;ssPageName=VIP:feedback&amp;ftab=FeedbackAsSeller&amp;rt=nc&amp;_trksid=p2047675.l2560" TargetMode="External"/><Relationship Id="rId17" Type="http://schemas.openxmlformats.org/officeDocument/2006/relationships/hyperlink" Target="http://www.ebay.com/sch/bcculture/m.html?item=251416092743&amp;rt=nc&amp;_trksid=p2047675.l256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2014-01-11T15:23:00Z</dcterms:created>
  <dc:creator>USER</dc:creator>
  <dc:description/>
  <dc:language>en-US</dc:language>
  <cp:lastModifiedBy>USER</cp:lastModifiedBy>
  <dcterms:modified xsi:type="dcterms:W3CDTF">2014-01-11T15:58:00Z</dcterms:modified>
  <cp:revision>4</cp:revision>
  <dc:subject/>
  <dc:title>Asia-China-Coin-3-Spade-Flat Handle-Arch Foot-H 3</dc:title>
</cp:coreProperties>
</file>