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Asia-China-Coin-3-Spade-Flat Handle-Arch Foot-H H 3.35, R 3</w:t>
      </w:r>
    </w:p>
    <w:p>
      <w:pPr>
        <w:pStyle w:val="Normal"/>
        <w:rPr/>
      </w:pPr>
      <w:r>
        <w:rPr/>
      </w:r>
    </w:p>
    <w:p>
      <w:pPr>
        <w:pStyle w:val="Normal"/>
        <w:rPr/>
      </w:pPr>
      <w:r>
        <w:rPr>
          <w:sz w:val="27"/>
          <w:szCs w:val="27"/>
        </w:rPr>
        <w:t>阴晋一釿桥足布</w:t>
      </w:r>
      <w:r>
        <w:rPr>
          <w:sz w:val="27"/>
          <w:szCs w:val="27"/>
        </w:rPr>
        <w:t>,"YinJinYiJin"Bridage-foot Spade-shape Coin."</w:t>
      </w:r>
      <w:r>
        <w:rPr>
          <w:sz w:val="27"/>
          <w:szCs w:val="27"/>
        </w:rPr>
        <w:t>阴晋</w:t>
      </w:r>
      <w:r>
        <w:rPr>
          <w:sz w:val="27"/>
          <w:szCs w:val="27"/>
        </w:rPr>
        <w:t>"place of Wei Nation.Now it is the SouthEast of HuaYin City,ShanXi Province."JIN",Ancient metals weight,as well as currency.In the WarringStatesPeriod,all kingdoms regarded"JIN"as the basic unit.The"YinJinYiJin"was used in the WEI Nation,middle or late warring sates period.</w:t>
      </w:r>
    </w:p>
    <w:p>
      <w:pPr>
        <w:pStyle w:val="Heading3"/>
        <w:rPr>
          <w:rFonts w:ascii="Arial" w:hAnsi="Arial" w:cs="Arial"/>
        </w:rPr>
      </w:pPr>
      <w:r>
        <w:rPr>
          <w:rFonts w:cs="Arial" w:ascii="Arial" w:hAnsi="Arial"/>
        </w:rPr>
        <w:t>length 5.1CM/2.01Inches, width 3.6CM/1.42Inches</w:t>
      </w:r>
    </w:p>
    <w:p>
      <w:pPr>
        <w:pStyle w:val="Heading3"/>
        <w:rPr/>
      </w:pPr>
      <w:r>
        <w:rPr/>
        <w:drawing>
          <wp:inline distT="0" distB="0" distL="0" distR="0">
            <wp:extent cx="4641215" cy="6287135"/>
            <wp:effectExtent l="0" t="0" r="0" b="0"/>
            <wp:docPr id="1"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_id" descr="" title=""/>
                    <pic:cNvPicPr>
                      <a:picLocks noChangeAspect="1" noChangeArrowheads="1"/>
                    </pic:cNvPicPr>
                  </pic:nvPicPr>
                  <pic:blipFill>
                    <a:blip r:embed="rId2"/>
                    <a:srcRect l="-11" t="-8" r="-11" b="-8"/>
                    <a:stretch>
                      <a:fillRect/>
                    </a:stretch>
                  </pic:blipFill>
                  <pic:spPr bwMode="auto">
                    <a:xfrm>
                      <a:off x="0" y="0"/>
                      <a:ext cx="4641215" cy="6287135"/>
                    </a:xfrm>
                    <a:prstGeom prst="rect">
                      <a:avLst/>
                    </a:prstGeom>
                  </pic:spPr>
                </pic:pic>
              </a:graphicData>
            </a:graphic>
          </wp:inline>
        </w:drawing>
      </w:r>
    </w:p>
    <w:p>
      <w:pPr>
        <w:pStyle w:val="Heading3"/>
        <w:tabs>
          <w:tab w:val="clear" w:pos="720"/>
          <w:tab w:val="left" w:pos="1200" w:leader="none"/>
        </w:tabs>
        <w:rPr/>
      </w:pPr>
      <w:r>
        <w:rPr/>
        <w:drawing>
          <wp:inline distT="0" distB="0" distL="0" distR="0">
            <wp:extent cx="4996815" cy="707834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11" t="-7" r="-11" b="-7"/>
                    <a:stretch>
                      <a:fillRect/>
                    </a:stretch>
                  </pic:blipFill>
                  <pic:spPr bwMode="auto">
                    <a:xfrm>
                      <a:off x="0" y="0"/>
                      <a:ext cx="4996815" cy="7078345"/>
                    </a:xfrm>
                    <a:prstGeom prst="rect">
                      <a:avLst/>
                    </a:prstGeom>
                  </pic:spPr>
                </pic:pic>
              </a:graphicData>
            </a:graphic>
          </wp:inline>
        </w:drawing>
      </w:r>
      <w:r>
        <w:br w:type="page"/>
      </w:r>
    </w:p>
    <w:p>
      <w:pPr>
        <w:pStyle w:val="Heading3"/>
        <w:tabs>
          <w:tab w:val="clear" w:pos="720"/>
          <w:tab w:val="left" w:pos="1200" w:leader="none"/>
        </w:tabs>
        <w:rPr/>
      </w:pPr>
      <w:r>
        <w:rPr>
          <w:rStyle w:val="Msgtextalign"/>
        </w:rPr>
        <w:t xml:space="preserve">You won this auction. </w:t>
      </w:r>
      <w:r>
        <w:rPr>
          <w:rStyle w:val="Sprtrsprtrie"/>
        </w:rPr>
        <w:t>|</w:t>
      </w:r>
      <w:r>
        <w:rPr/>
        <w:t xml:space="preserve"> </w:t>
      </w:r>
      <w:hyperlink r:id="rId4">
        <w:r>
          <w:rPr>
            <w:rStyle w:val="InternetLink"/>
          </w:rPr>
          <w:t>View order details</w:t>
        </w:r>
      </w:hyperlink>
      <w:r>
        <w:rPr/>
        <w:t xml:space="preserve"> </w:t>
      </w:r>
    </w:p>
    <w:tbl>
      <w:tblPr>
        <w:tblW w:w="5000" w:type="pct"/>
        <w:jc w:val="start"/>
        <w:tblInd w:w="-45" w:type="dxa"/>
        <w:tblBorders/>
        <w:tblCellMar>
          <w:top w:w="15" w:type="dxa"/>
          <w:start w:w="15" w:type="dxa"/>
          <w:bottom w:w="15" w:type="dxa"/>
          <w:end w:w="15" w:type="dxa"/>
        </w:tblCellMar>
      </w:tblPr>
      <w:tblGrid>
        <w:gridCol w:w="7821"/>
        <w:gridCol w:w="2299"/>
        <w:gridCol w:w="104"/>
      </w:tblGrid>
      <w:tr>
        <w:trPr/>
        <w:tc>
          <w:tcPr>
            <w:tcW w:w="10224" w:type="dxa"/>
            <w:gridSpan w:val="3"/>
            <w:tcBorders/>
            <w:shd w:fill="auto" w:val="clear"/>
            <w:vAlign w:val="center"/>
          </w:tcPr>
          <w:p>
            <w:pPr>
              <w:pStyle w:val="Heading1"/>
              <w:spacing w:before="0" w:after="280"/>
              <w:rPr/>
            </w:pPr>
            <w:r>
              <w:rPr>
                <w:rStyle w:val="Ghdn"/>
              </w:rPr>
              <w:t>Details about  </w:t>
            </w:r>
            <w:r>
              <w:rPr/>
              <w:t>VINTAGEWarringStatesPeriod WEI NATION CITY MINT MONEY BRONZE SPADE COIN</w:t>
            </w:r>
            <w:r>
              <w:rPr/>
              <w:t>阴晋一釿桥足布</w:t>
            </w:r>
            <w:r>
              <w:rPr/>
              <w:t>2“</w:t>
            </w:r>
          </w:p>
          <w:p>
            <w:pPr>
              <w:pStyle w:val="Normal"/>
              <w:rPr/>
            </w:pPr>
            <w:hyperlink r:id="rId5">
              <w:r>
                <w:rPr>
                  <w:rStyle w:val="InternetLink"/>
                </w:rPr>
                <w:t>See original listing</w:t>
              </w:r>
            </w:hyperlink>
            <w:r>
              <w:rPr>
                <w:rStyle w:val="Viinllnkvicvipprel3"/>
              </w:rPr>
              <w:t xml:space="preserve"> </w:t>
            </w:r>
          </w:p>
        </w:tc>
      </w:tr>
      <w:tr>
        <w:trPr/>
        <w:tc>
          <w:tcPr>
            <w:tcW w:w="7821" w:type="dxa"/>
            <w:vMerge w:val="restart"/>
            <w:tcBorders/>
            <w:shd w:fill="auto" w:val="clear"/>
            <w:tcMar>
              <w:end w:w="150" w:type="dxa"/>
            </w:tcMar>
          </w:tcPr>
          <w:tbl>
            <w:tblPr>
              <w:tblW w:w="7680" w:type="dxa"/>
              <w:jc w:val="start"/>
              <w:tblInd w:w="0" w:type="dxa"/>
              <w:tblBorders/>
              <w:tblCellMar>
                <w:top w:w="15" w:type="dxa"/>
                <w:start w:w="15" w:type="dxa"/>
                <w:bottom w:w="15" w:type="dxa"/>
                <w:end w:w="15" w:type="dxa"/>
              </w:tblCellMar>
            </w:tblPr>
            <w:tblGrid>
              <w:gridCol w:w="7680"/>
            </w:tblGrid>
            <w:tr>
              <w:trPr/>
              <w:tc>
                <w:tcPr>
                  <w:tcW w:w="7680" w:type="dxa"/>
                  <w:tcBorders/>
                  <w:shd w:fill="auto" w:val="clear"/>
                  <w:vAlign w:val="center"/>
                </w:tcPr>
                <w:p>
                  <w:pPr>
                    <w:pStyle w:val="Normal"/>
                    <w:snapToGrid w:val="false"/>
                    <w:rPr>
                      <w:rStyle w:val="InternetLink"/>
                    </w:rPr>
                  </w:pPr>
                  <w:hyperlink r:id="rId6">
                    <w:r>
                      <w:rPr/>
                    </w:r>
                  </w:hyperlink>
                </w:p>
                <w:p>
                  <w:pPr>
                    <w:pStyle w:val="Normal"/>
                    <w:rPr>
                      <w:rStyle w:val="InternetLink"/>
                    </w:rPr>
                  </w:pPr>
                  <w:hyperlink r:id="rId7">
                    <w:r>
                      <w:rPr/>
                    </w:r>
                  </w:hyperlink>
                </w:p>
                <w:tbl>
                  <w:tblPr>
                    <w:tblW w:w="7590" w:type="dxa"/>
                    <w:jc w:val="start"/>
                    <w:tblInd w:w="0" w:type="dxa"/>
                    <w:tblBorders/>
                    <w:tblCellMar>
                      <w:top w:w="15" w:type="dxa"/>
                      <w:start w:w="15" w:type="dxa"/>
                      <w:bottom w:w="15" w:type="dxa"/>
                      <w:end w:w="15" w:type="dxa"/>
                    </w:tblCellMar>
                  </w:tblPr>
                  <w:tblGrid>
                    <w:gridCol w:w="7590"/>
                  </w:tblGrid>
                  <w:tr>
                    <w:trPr/>
                    <w:tc>
                      <w:tcPr>
                        <w:tcW w:w="7590" w:type="dxa"/>
                        <w:tcBorders/>
                        <w:shd w:fill="auto" w:val="clear"/>
                        <w:vAlign w:val="center"/>
                      </w:tcPr>
                      <w:p>
                        <w:pPr>
                          <w:pStyle w:val="Normal"/>
                          <w:rPr/>
                        </w:pPr>
                        <w:r>
                          <w:rPr/>
                          <w:drawing>
                            <wp:inline distT="0" distB="0" distL="0" distR="0">
                              <wp:extent cx="4762500" cy="3476625"/>
                              <wp:effectExtent l="0" t="0" r="0" b="0"/>
                              <wp:docPr id="3"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Img" descr="" title=""/>
                                      <pic:cNvPicPr>
                                        <a:picLocks noChangeAspect="1" noChangeArrowheads="1"/>
                                      </pic:cNvPicPr>
                                    </pic:nvPicPr>
                                    <pic:blipFill>
                                      <a:blip r:embed="rId8"/>
                                      <a:srcRect l="-5" t="-7" r="-5" b="-7"/>
                                      <a:stretch>
                                        <a:fillRect/>
                                      </a:stretch>
                                    </pic:blipFill>
                                    <pic:spPr bwMode="auto">
                                      <a:xfrm>
                                        <a:off x="0" y="0"/>
                                        <a:ext cx="4762500" cy="3476625"/>
                                      </a:xfrm>
                                      <a:prstGeom prst="rect">
                                        <a:avLst/>
                                      </a:prstGeom>
                                    </pic:spPr>
                                  </pic:pic>
                                </a:graphicData>
                              </a:graphic>
                            </wp:inline>
                          </w:drawing>
                        </w:r>
                      </w:p>
                    </w:tc>
                  </w:tr>
                </w:tbl>
                <w:p>
                  <w:pPr>
                    <w:pStyle w:val="Normal"/>
                    <w:rPr/>
                  </w:pPr>
                  <w:r>
                    <w:rPr/>
                    <w:drawing>
                      <wp:inline distT="0" distB="0" distL="0" distR="0">
                        <wp:extent cx="913130" cy="91313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9"/>
                                <a:srcRect l="-29" t="-29" r="-29" b="-29"/>
                                <a:stretch>
                                  <a:fillRect/>
                                </a:stretch>
                              </pic:blipFill>
                              <pic:spPr bwMode="auto">
                                <a:xfrm>
                                  <a:off x="0" y="0"/>
                                  <a:ext cx="913130" cy="913130"/>
                                </a:xfrm>
                                <a:prstGeom prst="rect">
                                  <a:avLst/>
                                </a:prstGeom>
                              </pic:spPr>
                            </pic:pic>
                          </a:graphicData>
                        </a:graphic>
                      </wp:inline>
                    </w:drawing>
                  </w:r>
                </w:p>
              </w:tc>
            </w:tr>
          </w:tbl>
          <w:p>
            <w:pPr>
              <w:pStyle w:val="Normal"/>
              <w:rPr/>
            </w:pPr>
            <w:r>
              <w:rPr/>
            </w:r>
          </w:p>
        </w:tc>
        <w:tc>
          <w:tcPr>
            <w:tcW w:w="2299" w:type="dxa"/>
            <w:tcBorders/>
            <w:shd w:fill="auto" w:val="clear"/>
            <w:vAlign w:val="center"/>
          </w:tcPr>
          <w:p>
            <w:pPr>
              <w:pStyle w:val="Normal"/>
              <w:snapToGrid w:val="false"/>
              <w:rPr>
                <w:sz w:val="20"/>
                <w:szCs w:val="20"/>
              </w:rPr>
            </w:pPr>
            <w:r>
              <w:rPr>
                <w:sz w:val="20"/>
                <w:szCs w:val="20"/>
              </w:rPr>
            </w:r>
          </w:p>
        </w:tc>
        <w:tc>
          <w:tcPr>
            <w:tcW w:w="104" w:type="dxa"/>
            <w:tcBorders/>
            <w:shd w:fill="auto" w:val="clear"/>
            <w:vAlign w:val="center"/>
          </w:tcPr>
          <w:p>
            <w:pPr>
              <w:pStyle w:val="Normal"/>
              <w:snapToGrid w:val="false"/>
              <w:rPr>
                <w:sz w:val="20"/>
                <w:szCs w:val="20"/>
              </w:rPr>
            </w:pPr>
            <w:r>
              <w:rPr>
                <w:sz w:val="20"/>
                <w:szCs w:val="20"/>
              </w:rPr>
            </w:r>
          </w:p>
        </w:tc>
      </w:tr>
      <w:tr>
        <w:trPr/>
        <w:tc>
          <w:tcPr>
            <w:tcW w:w="7821" w:type="dxa"/>
            <w:vMerge w:val="continue"/>
            <w:tcBorders/>
            <w:shd w:fill="auto" w:val="clear"/>
            <w:tcMar>
              <w:end w:w="150" w:type="dxa"/>
            </w:tcMar>
          </w:tcPr>
          <w:p>
            <w:pPr>
              <w:pStyle w:val="Normal"/>
              <w:snapToGrid w:val="false"/>
              <w:rPr>
                <w:sz w:val="20"/>
                <w:szCs w:val="20"/>
              </w:rPr>
            </w:pPr>
            <w:r>
              <w:rPr>
                <w:sz w:val="20"/>
                <w:szCs w:val="20"/>
              </w:rPr>
            </w:r>
          </w:p>
        </w:tc>
        <w:tc>
          <w:tcPr>
            <w:tcW w:w="2299" w:type="dxa"/>
            <w:tcBorders/>
            <w:shd w:fill="auto" w:val="clear"/>
            <w:vAlign w:val="center"/>
          </w:tcPr>
          <w:p>
            <w:pPr>
              <w:pStyle w:val="Normal"/>
              <w:snapToGrid w:val="false"/>
              <w:rPr/>
            </w:pPr>
            <w:r>
              <w:rPr/>
            </w:r>
          </w:p>
        </w:tc>
        <w:tc>
          <w:tcPr>
            <w:tcW w:w="104" w:type="dxa"/>
            <w:tcBorders/>
            <w:shd w:fill="auto" w:val="clear"/>
            <w:vAlign w:val="center"/>
          </w:tcPr>
          <w:p>
            <w:pPr>
              <w:pStyle w:val="Normal"/>
              <w:snapToGrid w:val="false"/>
              <w:rPr>
                <w:sz w:val="20"/>
                <w:szCs w:val="20"/>
              </w:rPr>
            </w:pPr>
            <w:r>
              <w:rPr>
                <w:sz w:val="20"/>
                <w:szCs w:val="20"/>
              </w:rPr>
            </w:r>
          </w:p>
        </w:tc>
      </w:tr>
      <w:tr>
        <w:trPr/>
        <w:tc>
          <w:tcPr>
            <w:tcW w:w="7821" w:type="dxa"/>
            <w:vMerge w:val="continue"/>
            <w:tcBorders/>
            <w:shd w:fill="auto" w:val="clear"/>
            <w:tcMar>
              <w:end w:w="150" w:type="dxa"/>
            </w:tcMar>
          </w:tcPr>
          <w:p>
            <w:pPr>
              <w:pStyle w:val="Normal"/>
              <w:snapToGrid w:val="false"/>
              <w:rPr>
                <w:sz w:val="20"/>
                <w:szCs w:val="20"/>
              </w:rPr>
            </w:pPr>
            <w:r>
              <w:rPr>
                <w:sz w:val="20"/>
                <w:szCs w:val="20"/>
              </w:rPr>
            </w:r>
          </w:p>
        </w:tc>
        <w:tc>
          <w:tcPr>
            <w:tcW w:w="2299" w:type="dxa"/>
            <w:tcBorders/>
            <w:shd w:fill="auto" w:val="clear"/>
            <w:vAlign w:val="center"/>
          </w:tcPr>
          <w:p>
            <w:pPr>
              <w:pStyle w:val="Normal"/>
              <w:rPr/>
            </w:pPr>
            <w:r>
              <w:rPr/>
              <w:t>Item condition:</w:t>
            </w:r>
          </w:p>
          <w:p>
            <w:pPr>
              <w:pStyle w:val="Normal"/>
              <w:rPr/>
            </w:pPr>
            <w:r>
              <w:rPr/>
              <w:t>--</w:t>
            </w:r>
            <w:r>
              <w:rPr>
                <w:rStyle w:val="Ghdnvinocond"/>
              </w:rPr>
              <w:t>not specified</w:t>
            </w:r>
          </w:p>
          <w:p>
            <w:pPr>
              <w:pStyle w:val="Itemdescription"/>
              <w:spacing w:before="280" w:after="0"/>
              <w:rPr/>
            </w:pPr>
            <w:r>
              <w:rPr>
                <w:rStyle w:val="Itemdescriptionquotes"/>
              </w:rPr>
              <w:t>“</w:t>
            </w:r>
            <w:r>
              <w:rPr>
                <w:rStyle w:val="Topitmcnddscmsg"/>
              </w:rPr>
              <w:t>Rust on the body,Museum quality</w:t>
            </w:r>
            <w:r>
              <w:rPr>
                <w:rStyle w:val="Itemdescriptionquotes"/>
              </w:rPr>
              <w:t>”</w:t>
            </w:r>
          </w:p>
        </w:tc>
        <w:tc>
          <w:tcPr>
            <w:tcW w:w="104" w:type="dxa"/>
            <w:tcBorders/>
            <w:shd w:fill="auto" w:val="clear"/>
            <w:vAlign w:val="center"/>
          </w:tcPr>
          <w:p>
            <w:pPr>
              <w:pStyle w:val="Normal"/>
              <w:snapToGrid w:val="false"/>
              <w:rPr>
                <w:sz w:val="20"/>
                <w:szCs w:val="20"/>
              </w:rPr>
            </w:pPr>
            <w:r>
              <w:rPr>
                <w:sz w:val="20"/>
                <w:szCs w:val="20"/>
              </w:rPr>
            </w:r>
          </w:p>
        </w:tc>
      </w:tr>
      <w:tr>
        <w:trPr/>
        <w:tc>
          <w:tcPr>
            <w:tcW w:w="7821" w:type="dxa"/>
            <w:vMerge w:val="continue"/>
            <w:tcBorders/>
            <w:shd w:fill="auto" w:val="clear"/>
            <w:tcMar>
              <w:end w:w="150" w:type="dxa"/>
            </w:tcMar>
          </w:tcPr>
          <w:p>
            <w:pPr>
              <w:pStyle w:val="Normal"/>
              <w:snapToGrid w:val="false"/>
              <w:rPr>
                <w:sz w:val="20"/>
                <w:szCs w:val="20"/>
              </w:rPr>
            </w:pPr>
            <w:r>
              <w:rPr>
                <w:sz w:val="20"/>
                <w:szCs w:val="20"/>
              </w:rPr>
            </w:r>
          </w:p>
        </w:tc>
        <w:tc>
          <w:tcPr>
            <w:tcW w:w="2299" w:type="dxa"/>
            <w:tcBorders/>
            <w:shd w:fill="auto" w:val="clear"/>
            <w:vAlign w:val="center"/>
          </w:tcPr>
          <w:p>
            <w:pPr>
              <w:pStyle w:val="Normal"/>
              <w:rPr/>
            </w:pPr>
            <w:r>
              <w:rPr/>
              <w:t>Ended:</w:t>
            </w:r>
          </w:p>
          <w:p>
            <w:pPr>
              <w:pStyle w:val="Normal"/>
              <w:rPr/>
            </w:pPr>
            <w:r>
              <w:rPr/>
              <w:t>Jan 10, 2014</w:t>
            </w:r>
            <w:r>
              <w:rPr>
                <w:rStyle w:val="Endeddate"/>
              </w:rPr>
              <w:t xml:space="preserve"> 08:15:38 PST</w:t>
            </w:r>
            <w:r>
              <w:rPr/>
              <w:t xml:space="preserve"> </w:t>
            </w:r>
          </w:p>
        </w:tc>
        <w:tc>
          <w:tcPr>
            <w:tcW w:w="104" w:type="dxa"/>
            <w:tcBorders/>
            <w:shd w:fill="auto" w:val="clear"/>
            <w:vAlign w:val="center"/>
          </w:tcPr>
          <w:p>
            <w:pPr>
              <w:pStyle w:val="Normal"/>
              <w:snapToGrid w:val="false"/>
              <w:rPr>
                <w:sz w:val="20"/>
                <w:szCs w:val="20"/>
              </w:rPr>
            </w:pPr>
            <w:r>
              <w:rPr>
                <w:sz w:val="20"/>
                <w:szCs w:val="20"/>
              </w:rPr>
            </w:r>
          </w:p>
        </w:tc>
      </w:tr>
      <w:tr>
        <w:trPr/>
        <w:tc>
          <w:tcPr>
            <w:tcW w:w="7821" w:type="dxa"/>
            <w:vMerge w:val="continue"/>
            <w:tcBorders/>
            <w:shd w:fill="auto" w:val="clear"/>
            <w:tcMar>
              <w:end w:w="150" w:type="dxa"/>
            </w:tcMar>
          </w:tcPr>
          <w:p>
            <w:pPr>
              <w:pStyle w:val="Normal"/>
              <w:snapToGrid w:val="false"/>
              <w:rPr>
                <w:sz w:val="20"/>
                <w:szCs w:val="20"/>
              </w:rPr>
            </w:pPr>
            <w:r>
              <w:rPr>
                <w:sz w:val="20"/>
                <w:szCs w:val="20"/>
              </w:rPr>
            </w:r>
          </w:p>
        </w:tc>
        <w:tc>
          <w:tcPr>
            <w:tcW w:w="2299" w:type="dxa"/>
            <w:tcBorders/>
            <w:shd w:fill="auto" w:val="clear"/>
            <w:vAlign w:val="center"/>
          </w:tcPr>
          <w:p>
            <w:pPr>
              <w:pStyle w:val="Normal"/>
              <w:rPr/>
            </w:pPr>
            <w:r>
              <w:rPr/>
              <w:t>Winning bid:</w:t>
            </w:r>
          </w:p>
          <w:p>
            <w:pPr>
              <w:pStyle w:val="Normal"/>
              <w:rPr/>
            </w:pPr>
            <w:r>
              <w:rPr>
                <w:rStyle w:val="Notranslatevivrcvipprice"/>
              </w:rPr>
              <w:t>US $78.00</w:t>
            </w:r>
            <w:r>
              <w:rPr/>
              <w:t xml:space="preserve"> </w:t>
            </w:r>
          </w:p>
          <w:p>
            <w:pPr>
              <w:pStyle w:val="Normal"/>
              <w:rPr/>
            </w:pPr>
            <w:r>
              <w:rPr/>
              <w:t>[ </w:t>
            </w:r>
            <w:hyperlink r:id="rId10">
              <w:r>
                <w:rPr>
                  <w:rStyle w:val="InternetLink"/>
                </w:rPr>
                <w:t>5 bids</w:t>
              </w:r>
            </w:hyperlink>
            <w:r>
              <w:rPr/>
              <w:t xml:space="preserve"> ] </w:t>
            </w:r>
          </w:p>
        </w:tc>
        <w:tc>
          <w:tcPr>
            <w:tcW w:w="104" w:type="dxa"/>
            <w:tcBorders/>
            <w:shd w:fill="auto" w:val="clear"/>
            <w:vAlign w:val="center"/>
          </w:tcPr>
          <w:p>
            <w:pPr>
              <w:pStyle w:val="Normal"/>
              <w:snapToGrid w:val="false"/>
              <w:rPr>
                <w:sz w:val="20"/>
                <w:szCs w:val="20"/>
              </w:rPr>
            </w:pPr>
            <w:r>
              <w:rPr>
                <w:sz w:val="20"/>
                <w:szCs w:val="20"/>
              </w:rPr>
            </w:r>
          </w:p>
        </w:tc>
      </w:tr>
      <w:tr>
        <w:trPr/>
        <w:tc>
          <w:tcPr>
            <w:tcW w:w="7821" w:type="dxa"/>
            <w:vMerge w:val="continue"/>
            <w:tcBorders/>
            <w:shd w:fill="auto" w:val="clear"/>
            <w:tcMar>
              <w:end w:w="150" w:type="dxa"/>
            </w:tcMar>
          </w:tcPr>
          <w:p>
            <w:pPr>
              <w:pStyle w:val="Normal"/>
              <w:snapToGrid w:val="false"/>
              <w:rPr>
                <w:sz w:val="20"/>
                <w:szCs w:val="20"/>
              </w:rPr>
            </w:pPr>
            <w:r>
              <w:rPr>
                <w:sz w:val="20"/>
                <w:szCs w:val="20"/>
              </w:rPr>
            </w:r>
          </w:p>
        </w:tc>
        <w:tc>
          <w:tcPr>
            <w:tcW w:w="2299" w:type="dxa"/>
            <w:tcBorders/>
            <w:shd w:fill="auto" w:val="clear"/>
            <w:vAlign w:val="center"/>
          </w:tcPr>
          <w:p>
            <w:pPr>
              <w:pStyle w:val="Normal"/>
              <w:rPr/>
            </w:pPr>
            <w:r>
              <w:rPr/>
              <w:t>Shipping:</w:t>
            </w:r>
          </w:p>
          <w:p>
            <w:pPr>
              <w:pStyle w:val="Normal"/>
              <w:rPr/>
            </w:pPr>
            <w:r>
              <w:rPr>
                <w:rStyle w:val="Notranslateshcst"/>
              </w:rPr>
              <w:t xml:space="preserve">$10.00 </w:t>
            </w:r>
            <w:r>
              <w:rPr/>
              <w:t xml:space="preserve">Economy Shipping from outside US </w:t>
            </w:r>
          </w:p>
        </w:tc>
        <w:tc>
          <w:tcPr>
            <w:tcW w:w="104" w:type="dxa"/>
            <w:tcBorders/>
            <w:shd w:fill="auto" w:val="clear"/>
            <w:vAlign w:val="center"/>
          </w:tcPr>
          <w:p>
            <w:pPr>
              <w:pStyle w:val="Normal"/>
              <w:snapToGrid w:val="false"/>
              <w:rPr>
                <w:sz w:val="20"/>
                <w:szCs w:val="20"/>
              </w:rPr>
            </w:pPr>
            <w:r>
              <w:rPr>
                <w:sz w:val="20"/>
                <w:szCs w:val="20"/>
              </w:rPr>
            </w:r>
          </w:p>
        </w:tc>
      </w:tr>
      <w:tr>
        <w:trPr/>
        <w:tc>
          <w:tcPr>
            <w:tcW w:w="7821" w:type="dxa"/>
            <w:vMerge w:val="continue"/>
            <w:tcBorders/>
            <w:shd w:fill="auto" w:val="clear"/>
            <w:tcMar>
              <w:end w:w="150" w:type="dxa"/>
            </w:tcMar>
          </w:tcPr>
          <w:p>
            <w:pPr>
              <w:pStyle w:val="Normal"/>
              <w:snapToGrid w:val="false"/>
              <w:rPr>
                <w:sz w:val="20"/>
                <w:szCs w:val="20"/>
              </w:rPr>
            </w:pPr>
            <w:r>
              <w:rPr>
                <w:sz w:val="20"/>
                <w:szCs w:val="20"/>
              </w:rPr>
            </w:r>
          </w:p>
        </w:tc>
        <w:tc>
          <w:tcPr>
            <w:tcW w:w="2299" w:type="dxa"/>
            <w:tcBorders/>
            <w:shd w:fill="auto" w:val="clear"/>
            <w:vAlign w:val="center"/>
          </w:tcPr>
          <w:p>
            <w:pPr>
              <w:pStyle w:val="Normal"/>
              <w:rPr/>
            </w:pPr>
            <w:r>
              <w:rPr/>
              <w:t>Item location:</w:t>
            </w:r>
          </w:p>
          <w:p>
            <w:pPr>
              <w:pStyle w:val="Normal"/>
              <w:rPr/>
            </w:pPr>
            <w:r>
              <w:rPr/>
              <w:t>GuangZhou, China</w:t>
            </w:r>
          </w:p>
        </w:tc>
        <w:tc>
          <w:tcPr>
            <w:tcW w:w="104" w:type="dxa"/>
            <w:tcBorders/>
            <w:shd w:fill="auto" w:val="clear"/>
            <w:vAlign w:val="center"/>
          </w:tcPr>
          <w:p>
            <w:pPr>
              <w:pStyle w:val="Normal"/>
              <w:snapToGrid w:val="false"/>
              <w:rPr>
                <w:sz w:val="20"/>
                <w:szCs w:val="20"/>
              </w:rPr>
            </w:pPr>
            <w:r>
              <w:rPr>
                <w:sz w:val="20"/>
                <w:szCs w:val="20"/>
              </w:rPr>
            </w:r>
          </w:p>
        </w:tc>
      </w:tr>
      <w:tr>
        <w:trPr/>
        <w:tc>
          <w:tcPr>
            <w:tcW w:w="7821" w:type="dxa"/>
            <w:vMerge w:val="continue"/>
            <w:tcBorders/>
            <w:shd w:fill="auto" w:val="clear"/>
            <w:tcMar>
              <w:end w:w="150" w:type="dxa"/>
            </w:tcMar>
          </w:tcPr>
          <w:p>
            <w:pPr>
              <w:pStyle w:val="Normal"/>
              <w:snapToGrid w:val="false"/>
              <w:rPr>
                <w:sz w:val="20"/>
                <w:szCs w:val="20"/>
              </w:rPr>
            </w:pPr>
            <w:r>
              <w:rPr>
                <w:sz w:val="20"/>
                <w:szCs w:val="20"/>
              </w:rPr>
            </w:r>
          </w:p>
        </w:tc>
        <w:tc>
          <w:tcPr>
            <w:tcW w:w="2299" w:type="dxa"/>
            <w:tcBorders/>
            <w:shd w:fill="auto" w:val="clear"/>
            <w:vAlign w:val="center"/>
          </w:tcPr>
          <w:p>
            <w:pPr>
              <w:pStyle w:val="Normal"/>
              <w:rPr/>
            </w:pPr>
            <w:r>
              <w:rPr/>
              <w:t>Seller:</w:t>
            </w:r>
          </w:p>
          <w:p>
            <w:pPr>
              <w:pStyle w:val="Normal"/>
              <w:rPr/>
            </w:pPr>
            <w:hyperlink r:id="rId11">
              <w:r>
                <w:rPr>
                  <w:rStyle w:val="Mbgnw"/>
                  <w:color w:val="0000FF"/>
                  <w:u w:val="single"/>
                </w:rPr>
                <w:t>bcculture</w:t>
              </w:r>
            </w:hyperlink>
            <w:r>
              <w:rPr/>
              <w:t xml:space="preserve"> </w:t>
            </w:r>
            <w:r>
              <w:rPr>
                <w:rStyle w:val="Mbgl"/>
              </w:rPr>
              <w:t>(</w:t>
            </w:r>
            <w:hyperlink r:id="rId12">
              <w:r>
                <w:rPr>
                  <w:rStyle w:val="InternetLink"/>
                </w:rPr>
                <w:t>84</w:t>
              </w:r>
            </w:hyperlink>
            <w:r>
              <w:rPr>
                <w:rStyle w:val="Mbgl"/>
              </w:rPr>
              <w:t xml:space="preserve"> )</w:t>
            </w:r>
            <w:r>
              <w:rPr/>
              <w:t xml:space="preserve"> </w:t>
            </w:r>
          </w:p>
          <w:p>
            <w:pPr>
              <w:pStyle w:val="Normal"/>
              <w:rPr/>
            </w:pPr>
            <w:r>
              <w:rPr>
                <w:rStyle w:val="Watchpipe"/>
              </w:rPr>
              <w:t>|</w:t>
            </w:r>
            <w:r>
              <w:rPr/>
              <w:t xml:space="preserve"> </w:t>
            </w:r>
          </w:p>
          <w:p>
            <w:pPr>
              <w:pStyle w:val="Normal"/>
              <w:rPr/>
            </w:pPr>
            <w:hyperlink r:id="rId13">
              <w:r>
                <w:rPr>
                  <w:rStyle w:val="InternetLink"/>
                </w:rPr>
                <w:t>Seller's other items</w:t>
              </w:r>
            </w:hyperlink>
            <w:r>
              <w:rPr/>
              <w:t xml:space="preserve"> </w:t>
            </w:r>
          </w:p>
        </w:tc>
        <w:tc>
          <w:tcPr>
            <w:tcW w:w="104" w:type="dxa"/>
            <w:tcBorders/>
            <w:shd w:fill="auto" w:val="clear"/>
            <w:vAlign w:val="center"/>
          </w:tcPr>
          <w:p>
            <w:pPr>
              <w:pStyle w:val="Normal"/>
              <w:snapToGrid w:val="false"/>
              <w:rPr>
                <w:sz w:val="20"/>
                <w:szCs w:val="20"/>
              </w:rPr>
            </w:pPr>
            <w:r>
              <w:rPr>
                <w:sz w:val="20"/>
                <w:szCs w:val="20"/>
              </w:rPr>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Msgtextalign">
    <w:name w:val="msgtextalign"/>
    <w:basedOn w:val="DefaultParagraphFont"/>
    <w:qFormat/>
    <w:rPr/>
  </w:style>
  <w:style w:type="character" w:styleId="Sprtrsprtrie">
    <w:name w:val="sprtr sprtrie"/>
    <w:basedOn w:val="DefaultParagraphFont"/>
    <w:qFormat/>
    <w:rPr/>
  </w:style>
  <w:style w:type="character" w:styleId="InternetLink">
    <w:name w:val="Internet Link"/>
    <w:basedOn w:val="DefaultParagraphFont"/>
    <w:rPr>
      <w:color w:val="0000FF"/>
      <w:u w:val="single"/>
    </w:rPr>
  </w:style>
  <w:style w:type="character" w:styleId="Ghdn">
    <w:name w:val="g-hdn"/>
    <w:basedOn w:val="DefaultParagraphFont"/>
    <w:qFormat/>
    <w:rPr/>
  </w:style>
  <w:style w:type="character" w:styleId="Viinllnkvicvipprel3">
    <w:name w:val="vi-inl-lnk vi-cvip-prel3"/>
    <w:basedOn w:val="DefaultParagraphFont"/>
    <w:qFormat/>
    <w:rPr/>
  </w:style>
  <w:style w:type="character" w:styleId="Ghdnvinocond">
    <w:name w:val="g-hdn vi-nocond"/>
    <w:basedOn w:val="DefaultParagraphFont"/>
    <w:qFormat/>
    <w:rPr/>
  </w:style>
  <w:style w:type="character" w:styleId="Itemdescriptionquotes">
    <w:name w:val="itemdescriptionquotes"/>
    <w:basedOn w:val="DefaultParagraphFont"/>
    <w:qFormat/>
    <w:rPr/>
  </w:style>
  <w:style w:type="character" w:styleId="Topitmcnddscmsg">
    <w:name w:val="topitmcnddscmsg"/>
    <w:basedOn w:val="DefaultParagraphFont"/>
    <w:qFormat/>
    <w:rPr/>
  </w:style>
  <w:style w:type="character" w:styleId="Endeddate">
    <w:name w:val="endeddate"/>
    <w:basedOn w:val="DefaultParagraphFont"/>
    <w:qFormat/>
    <w:rPr/>
  </w:style>
  <w:style w:type="character" w:styleId="Notranslatevivrcvipprice">
    <w:name w:val="notranslate vi-vr-cvipprice"/>
    <w:basedOn w:val="DefaultParagraphFont"/>
    <w:qFormat/>
    <w:rPr/>
  </w:style>
  <w:style w:type="character" w:styleId="Notranslateshcst">
    <w:name w:val="notranslate sh-cst"/>
    <w:basedOn w:val="DefaultParagraphFont"/>
    <w:qFormat/>
    <w:rPr/>
  </w:style>
  <w:style w:type="character" w:styleId="Mbgnw">
    <w:name w:val="mbg-nw"/>
    <w:basedOn w:val="DefaultParagraphFont"/>
    <w:qFormat/>
    <w:rPr/>
  </w:style>
  <w:style w:type="character" w:styleId="Mbgl">
    <w:name w:val="mbg-l"/>
    <w:basedOn w:val="DefaultParagraphFont"/>
    <w:qFormat/>
    <w:rPr/>
  </w:style>
  <w:style w:type="character" w:styleId="Watchpipe">
    <w:name w:val="watchpi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Itemdescription">
    <w:name w:val="itemdescription"/>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payments.ebay.com/ws/eBayISAPI.dll?ViewPaymentStatus&amp;transid=0&amp;ssPageName=STRK:MESO:VPS&amp;itemId=251417170652" TargetMode="External"/><Relationship Id="rId5" Type="http://schemas.openxmlformats.org/officeDocument/2006/relationships/hyperlink" Target="http://www.ebay.com/itm/VINTAGEWarringStatesPeriod-WEI-NATION-CITY-MINT-MONEY-BRONZE-SPADE-COIN-2-/251417170652?nma=true&amp;si=5L4Tlo08dyY9pQflhUEb6fWvMTI%253D&amp;orig_cvip=true&amp;rt=nc&amp;_trksid=p2047675.l2557" TargetMode="External"/><Relationship Id="rId6" Type="http://schemas.openxmlformats.org/officeDocument/2006/relationships/hyperlink" Target="http://www.ebay.com/itm/VINTAGEWarringStatesPeriod-WEI-NATION-CITY-MINT-MONEY-BRONZE-SPADE-COIN-2-/251417170652?nma=true&amp;si=5L4Tlo08dyY9pQflhUEb6fWvMTI%253D&amp;orig_cvip=true&amp;rt=nc&amp;_trksid=p2047675.l2557" TargetMode="External"/><Relationship Id="rId7" Type="http://schemas.openxmlformats.org/officeDocument/2006/relationships/hyperlink" Target="http://www.ebay.com/itm/VINTAGEWarringStatesPeriod-WEI-NATION-CITY-MINT-MONEY-BRONZE-SPADE-COIN-2-/251417170652?nma=true&amp;si=5L4Tlo08dyY9pQflhUEb6fWvMTI%253D&amp;orig_cvip=true&amp;rt=nc&amp;_trksid=p2047675.l2557" TargetMode="Externa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http://offer.ebay.com/ws/eBayISAPI.dll?ViewBids&amp;_trksid=p2047675.l2565&amp;rt=nc&amp;item=251417170652" TargetMode="External"/><Relationship Id="rId11" Type="http://schemas.openxmlformats.org/officeDocument/2006/relationships/hyperlink" Target="http://myworld.ebay.com/bcculture?_trksid=p2047675.l2559" TargetMode="External"/><Relationship Id="rId12" Type="http://schemas.openxmlformats.org/officeDocument/2006/relationships/hyperlink" Target="http://feedback.ebay.com/ws/eBayISAPI.dll?ViewFeedback&amp;userid=bcculture&amp;iid=251417170652&amp;ssPageName=VIP:feedback&amp;ftab=FeedbackAsSeller&amp;rt=nc&amp;_trksid=p2047675.l2560" TargetMode="External"/><Relationship Id="rId13" Type="http://schemas.openxmlformats.org/officeDocument/2006/relationships/hyperlink" Target="http://www.ebay.com/sch/bcculture/m.html?item=251417170652&amp;rt=nc&amp;_trksid=p2047675.l2562"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2014-01-11T15:41:00Z</dcterms:created>
  <dc:creator>USER</dc:creator>
  <dc:description/>
  <dc:language>en-US</dc:language>
  <cp:lastModifiedBy>USER</cp:lastModifiedBy>
  <dcterms:modified xsi:type="dcterms:W3CDTF">2014-01-11T15:45:00Z</dcterms:modified>
  <cp:revision>1</cp:revision>
  <dc:subject/>
  <dc:title>Asia-China-Coin-3-Spade-Flat Handle-Arch Foot-H H 3</dc:title>
</cp:coreProperties>
</file>