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DIS-Eur-Fr-Mousterian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color w:val="202020"/>
          <w:sz w:val="36"/>
          <w:szCs w:val="36"/>
        </w:rPr>
        <w:t>Collected in Normandy-France in 1960-75 (Old collection E. Doruard).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the tools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that I propose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for sale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are from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old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excavations and collections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made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​​after the  Second World War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by collectors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scholars.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As such,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they were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reported and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listed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at the time of</w:t>
      </w:r>
      <w:r>
        <w:rPr>
          <w:rStyle w:val="Applestylespan"/>
          <w:rFonts w:cs="Arial" w:ascii="Arial" w:hAnsi="Arial"/>
          <w:b/>
          <w:bCs/>
          <w:i/>
          <w:iCs/>
          <w:color w:val="905400"/>
          <w:sz w:val="19"/>
          <w:szCs w:val="19"/>
        </w:rPr>
        <w:t> </w:t>
      </w:r>
      <w:r>
        <w:rPr>
          <w:rStyle w:val="Hps"/>
          <w:rFonts w:cs="Arial" w:ascii="Arial" w:hAnsi="Arial"/>
          <w:b/>
          <w:bCs/>
          <w:i/>
          <w:iCs/>
          <w:color w:val="905400"/>
          <w:sz w:val="19"/>
          <w:szCs w:val="19"/>
        </w:rPr>
        <w:t>their discovery.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905400"/>
          <w:sz w:val="48"/>
          <w:szCs w:val="48"/>
        </w:rPr>
        <w:t>* MOUSTERIAN BLADE**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2E6B31"/>
          <w:sz w:val="36"/>
          <w:szCs w:val="36"/>
        </w:rPr>
        <w:t>Area/context:</w:t>
      </w:r>
      <w:r>
        <w:rPr>
          <w:rFonts w:cs="Arial" w:ascii="Arial" w:hAnsi="Arial"/>
          <w:i/>
          <w:iCs/>
          <w:color w:val="2E6B31"/>
          <w:sz w:val="36"/>
          <w:szCs w:val="36"/>
        </w:rPr>
        <w:t xml:space="preserve">        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Style w:val="Applestylespan"/>
          <w:rFonts w:cs="Arial" w:ascii="Arial" w:hAnsi="Arial"/>
          <w:i/>
          <w:iCs/>
          <w:color w:val="202020"/>
          <w:sz w:val="48"/>
          <w:szCs w:val="48"/>
        </w:rPr>
        <w:t>Calvados (Normandy) West of Paris Basin.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color w:val="202020"/>
          <w:sz w:val="36"/>
          <w:szCs w:val="36"/>
        </w:rPr>
        <w:t>Occupation area of neanderthal and Omo Erectus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2E6B31"/>
          <w:sz w:val="36"/>
          <w:szCs w:val="36"/>
        </w:rPr>
        <w:t>Period:  </w:t>
      </w:r>
      <w:r>
        <w:rPr>
          <w:rFonts w:cs="Arial" w:ascii="Arial" w:hAnsi="Arial"/>
          <w:i/>
          <w:iCs/>
          <w:color w:val="463D3B"/>
          <w:sz w:val="36"/>
          <w:szCs w:val="36"/>
        </w:rPr>
        <w:t>  </w:t>
      </w:r>
      <w:r>
        <w:rPr>
          <w:rStyle w:val="Applestylespan"/>
          <w:rFonts w:cs="Arial" w:ascii="Arial" w:hAnsi="Arial"/>
          <w:i/>
          <w:iCs/>
          <w:color w:val="202020"/>
          <w:sz w:val="48"/>
          <w:szCs w:val="48"/>
        </w:rPr>
        <w:t>     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color w:val="202020"/>
          <w:sz w:val="36"/>
          <w:szCs w:val="36"/>
        </w:rPr>
        <w:t>Mousterian (middle paleolithic) 300 000 - 30 000 BC.</w:t>
      </w:r>
    </w:p>
    <w:p>
      <w:pPr>
        <w:pStyle w:val="Normal"/>
        <w:spacing w:before="280" w:after="0"/>
        <w:rPr>
          <w:i/>
          <w:i/>
          <w:iCs/>
          <w:sz w:val="48"/>
          <w:szCs w:val="48"/>
        </w:rPr>
      </w:pPr>
      <w:r>
        <w:rPr>
          <w:rFonts w:cs="Arial" w:ascii="Arial" w:hAnsi="Arial"/>
          <w:b/>
          <w:bCs/>
          <w:i/>
          <w:iCs/>
          <w:color w:val="2E6B31"/>
          <w:sz w:val="20"/>
          <w:szCs w:val="20"/>
        </w:rPr>
        <w:t>Mousterian is a name given by archaeologists to a style of predominantly </w:t>
      </w:r>
      <w:hyperlink r:id="rId2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flint tools</w:t>
        </w:r>
      </w:hyperlink>
      <w:r>
        <w:rPr>
          <w:rFonts w:cs="Arial" w:ascii="Arial" w:hAnsi="Arial"/>
          <w:b/>
          <w:bCs/>
          <w:i/>
          <w:iCs/>
          <w:color w:val="2E6B31"/>
          <w:sz w:val="20"/>
          <w:szCs w:val="20"/>
        </w:rPr>
        <w:t> (or </w:t>
      </w:r>
      <w:hyperlink r:id="rId3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industry</w:t>
        </w:r>
      </w:hyperlink>
      <w:r>
        <w:rPr>
          <w:rFonts w:cs="Arial" w:ascii="Arial" w:hAnsi="Arial"/>
          <w:b/>
          <w:bCs/>
          <w:i/>
          <w:iCs/>
          <w:color w:val="2E6B31"/>
          <w:sz w:val="20"/>
          <w:szCs w:val="20"/>
        </w:rPr>
        <w:t>) associated primarily with </w:t>
      </w:r>
      <w:hyperlink r:id="rId4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Homo neanderthalensis</w:t>
        </w:r>
      </w:hyperlink>
      <w:r>
        <w:rPr>
          <w:rFonts w:cs="Arial" w:ascii="Arial" w:hAnsi="Arial"/>
          <w:b/>
          <w:bCs/>
          <w:i/>
          <w:iCs/>
          <w:color w:val="2E6B31"/>
          <w:sz w:val="20"/>
          <w:szCs w:val="20"/>
        </w:rPr>
        <w:t> and dating to the </w:t>
      </w:r>
      <w:hyperlink r:id="rId5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Middle Paleolithic</w:t>
        </w:r>
      </w:hyperlink>
      <w:r>
        <w:rPr>
          <w:rFonts w:cs="Arial" w:ascii="Arial" w:hAnsi="Arial"/>
          <w:b/>
          <w:bCs/>
          <w:i/>
          <w:iCs/>
          <w:color w:val="2E6B31"/>
          <w:sz w:val="20"/>
          <w:szCs w:val="20"/>
        </w:rPr>
        <w:t>, the middle part of the Old </w:t>
      </w:r>
      <w:hyperlink r:id="rId6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Stone Age</w:t>
        </w:r>
      </w:hyperlink>
      <w:r>
        <w:rPr>
          <w:rFonts w:cs="Arial" w:ascii="Arial" w:hAnsi="Arial"/>
          <w:b/>
          <w:bCs/>
          <w:i/>
          <w:iCs/>
          <w:color w:val="2E6B31"/>
          <w:sz w:val="20"/>
          <w:szCs w:val="20"/>
        </w:rPr>
        <w:t>.</w:t>
      </w:r>
    </w:p>
    <w:p>
      <w:pPr>
        <w:pStyle w:val="Normal"/>
        <w:spacing w:before="280" w:after="0"/>
        <w:rPr>
          <w:rFonts w:ascii="Arial" w:hAnsi="Arial" w:cs="Arial"/>
          <w:i/>
          <w:i/>
          <w:iCs/>
          <w:sz w:val="48"/>
          <w:szCs w:val="48"/>
        </w:rPr>
      </w:pPr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The culture was named after the</w:t>
      </w:r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hyperlink r:id="rId7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type site</w:t>
        </w:r>
      </w:hyperlink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of</w:t>
      </w:r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hyperlink r:id="rId8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Le Moustier</w:t>
        </w:r>
      </w:hyperlink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, a rock shelter in the</w:t>
      </w:r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hyperlink r:id="rId9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Dordogne</w:t>
        </w:r>
      </w:hyperlink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region of </w:t>
      </w:r>
      <w:hyperlink r:id="rId10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France</w:t>
        </w:r>
      </w:hyperlink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. Similar flintwork has been found all over unglaciated</w:t>
      </w:r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hyperlink r:id="rId11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Europe</w:t>
        </w:r>
      </w:hyperlink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and also the</w:t>
      </w:r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hyperlink r:id="rId12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Near East</w:t>
        </w:r>
      </w:hyperlink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and</w:t>
      </w:r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hyperlink r:id="rId13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North Africa</w:t>
        </w:r>
      </w:hyperlink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.</w:t>
      </w:r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hyperlink r:id="rId14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Handaxes</w:t>
        </w:r>
      </w:hyperlink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,</w:t>
      </w:r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hyperlink r:id="rId15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racloirs</w:t>
        </w:r>
      </w:hyperlink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and</w:t>
      </w:r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hyperlink r:id="rId16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points</w:t>
        </w:r>
      </w:hyperlink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constitute the industry; sometimes a</w:t>
      </w:r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hyperlink r:id="rId17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Levallois technique</w:t>
        </w:r>
      </w:hyperlink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or another</w:t>
      </w:r>
      <w:hyperlink r:id="rId18" w:tgtFrame="_blank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</w:rPr>
          <w:t>prepared-core technique</w:t>
        </w:r>
      </w:hyperlink>
      <w:r>
        <w:rPr>
          <w:rStyle w:val="Appleconvertedspace"/>
          <w:rFonts w:cs="Arial" w:ascii="Arial" w:hAnsi="Arial"/>
          <w:b/>
          <w:bCs/>
          <w:i/>
          <w:iCs/>
          <w:color w:val="2E6B31"/>
          <w:sz w:val="20"/>
          <w:szCs w:val="20"/>
        </w:rPr>
        <w:t> </w:t>
      </w:r>
      <w:r>
        <w:rPr>
          <w:rStyle w:val="Applestylespan"/>
          <w:rFonts w:cs="Arial" w:ascii="Arial" w:hAnsi="Arial"/>
          <w:b/>
          <w:bCs/>
          <w:i/>
          <w:iCs/>
          <w:color w:val="2E6B31"/>
          <w:sz w:val="20"/>
          <w:szCs w:val="20"/>
        </w:rPr>
        <w:t>was employed in making the flint flakes. (Wikipedia)</w:t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36"/>
          <w:szCs w:val="36"/>
          <w:u w:val="single"/>
        </w:rPr>
        <w:t xml:space="preserve">Type of artefact: </w:t>
      </w:r>
    </w:p>
    <w:p>
      <w:pPr>
        <w:pStyle w:val="Normal"/>
        <w:spacing w:before="0" w:after="240"/>
        <w:rPr/>
      </w:pPr>
      <w:r>
        <w:rPr>
          <w:rFonts w:cs="Arial" w:ascii="Arial" w:hAnsi="Arial"/>
          <w:i/>
          <w:iCs/>
          <w:sz w:val="36"/>
          <w:szCs w:val="36"/>
        </w:rPr>
        <w:t>Enormous Mousterian Blade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before="0" w:after="240"/>
        <w:rPr>
          <w:rFonts w:ascii="Arial" w:hAnsi="Arial" w:cs="Arial"/>
          <w:sz w:val="20"/>
          <w:szCs w:val="20"/>
        </w:rPr>
      </w:pPr>
      <w:r>
        <w:rPr>
          <w:rStyle w:val="Applestylespan"/>
          <w:rFonts w:cs="Arial" w:ascii="Arial" w:hAnsi="Arial"/>
          <w:i/>
          <w:iCs/>
          <w:color w:val="202020"/>
          <w:sz w:val="48"/>
          <w:szCs w:val="48"/>
        </w:rPr>
        <w:t xml:space="preserve">Nice retouchs </w:t>
      </w:r>
      <w:r>
        <w:rPr>
          <w:rFonts w:cs="Arial" w:ascii="Arial" w:hAnsi="Arial"/>
          <w:i/>
          <w:iCs/>
          <w:color w:val="202020"/>
          <w:sz w:val="48"/>
          <w:szCs w:val="48"/>
        </w:rPr>
        <w:br/>
      </w:r>
      <w:r>
        <w:rPr>
          <w:rStyle w:val="Applestylespan"/>
          <w:rFonts w:cs="Arial" w:ascii="Arial" w:hAnsi="Arial"/>
          <w:i/>
          <w:iCs/>
          <w:color w:val="202020"/>
          <w:sz w:val="48"/>
          <w:szCs w:val="48"/>
        </w:rPr>
        <w:t>Outstanding weight and size, rare !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Style w:val="Applestylespan"/>
          <w:rFonts w:cs="Arial" w:ascii="Arial" w:hAnsi="Arial"/>
          <w:i/>
          <w:iCs/>
          <w:color w:val="202020"/>
          <w:sz w:val="48"/>
          <w:szCs w:val="48"/>
        </w:rPr>
        <w:t>Large bulb and scares of percussion</w:t>
      </w:r>
      <w:r>
        <w:rPr>
          <w:rFonts w:cs="Arial" w:ascii="Arial" w:hAnsi="Arial"/>
          <w:i/>
          <w:iCs/>
          <w:color w:val="202020"/>
          <w:sz w:val="48"/>
          <w:szCs w:val="48"/>
        </w:rPr>
        <w:br/>
      </w:r>
      <w:r>
        <w:rPr>
          <w:rStyle w:val="Applestylespan"/>
          <w:rFonts w:cs="Arial" w:ascii="Arial" w:hAnsi="Arial"/>
          <w:i/>
          <w:iCs/>
          <w:color w:val="202020"/>
          <w:sz w:val="48"/>
          <w:szCs w:val="48"/>
        </w:rPr>
        <w:t>Impressive tool!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Hps">
    <w:name w:val="hps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Flint_tools" TargetMode="External"/><Relationship Id="rId3" Type="http://schemas.openxmlformats.org/officeDocument/2006/relationships/hyperlink" Target="http://en.wikipedia.org/wiki/Archaeological_industry" TargetMode="External"/><Relationship Id="rId4" Type="http://schemas.openxmlformats.org/officeDocument/2006/relationships/hyperlink" Target="http://en.wikipedia.org/wiki/Neanderthal" TargetMode="External"/><Relationship Id="rId5" Type="http://schemas.openxmlformats.org/officeDocument/2006/relationships/hyperlink" Target="http://en.wikipedia.org/wiki/Middle_Paleolithic" TargetMode="External"/><Relationship Id="rId6" Type="http://schemas.openxmlformats.org/officeDocument/2006/relationships/hyperlink" Target="http://en.wikipedia.org/wiki/Stone_Age" TargetMode="External"/><Relationship Id="rId7" Type="http://schemas.openxmlformats.org/officeDocument/2006/relationships/hyperlink" Target="http://en.wikipedia.org/wiki/Type_site" TargetMode="External"/><Relationship Id="rId8" Type="http://schemas.openxmlformats.org/officeDocument/2006/relationships/hyperlink" Target="http://en.wikipedia.org/wiki/Le_Moustier" TargetMode="External"/><Relationship Id="rId9" Type="http://schemas.openxmlformats.org/officeDocument/2006/relationships/hyperlink" Target="http://en.wikipedia.org/wiki/Dordogne" TargetMode="External"/><Relationship Id="rId10" Type="http://schemas.openxmlformats.org/officeDocument/2006/relationships/hyperlink" Target="http://en.wikipedia.org/wiki/France" TargetMode="External"/><Relationship Id="rId11" Type="http://schemas.openxmlformats.org/officeDocument/2006/relationships/hyperlink" Target="http://en.wikipedia.org/wiki/Europe" TargetMode="External"/><Relationship Id="rId12" Type="http://schemas.openxmlformats.org/officeDocument/2006/relationships/hyperlink" Target="http://en.wikipedia.org/wiki/Near_East" TargetMode="External"/><Relationship Id="rId13" Type="http://schemas.openxmlformats.org/officeDocument/2006/relationships/hyperlink" Target="http://en.wikipedia.org/wiki/North_Africa" TargetMode="External"/><Relationship Id="rId14" Type="http://schemas.openxmlformats.org/officeDocument/2006/relationships/hyperlink" Target="http://en.wikipedia.org/wiki/Handaxe" TargetMode="External"/><Relationship Id="rId15" Type="http://schemas.openxmlformats.org/officeDocument/2006/relationships/hyperlink" Target="http://en.wikipedia.org/wiki/Racloir" TargetMode="External"/><Relationship Id="rId16" Type="http://schemas.openxmlformats.org/officeDocument/2006/relationships/hyperlink" Target="http://en.wikipedia.org/wiki/Projectile_point" TargetMode="External"/><Relationship Id="rId17" Type="http://schemas.openxmlformats.org/officeDocument/2006/relationships/hyperlink" Target="http://en.wikipedia.org/wiki/Levallois_technique" TargetMode="External"/><Relationship Id="rId18" Type="http://schemas.openxmlformats.org/officeDocument/2006/relationships/hyperlink" Target="http://en.wikipedia.org/wiki/Prepared-core_technique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2014-02-07T16:09:00Z</dcterms:created>
  <dc:creator>USER</dc:creator>
  <dc:description/>
  <dc:language>en-US</dc:language>
  <cp:lastModifiedBy>USER</cp:lastModifiedBy>
  <dcterms:modified xsi:type="dcterms:W3CDTF">2014-02-07T16:33:00Z</dcterms:modified>
  <cp:revision>1</cp:revision>
  <dc:subject/>
  <dc:title>DIS-Eur-Fr-Mousterian</dc:title>
</cp:coreProperties>
</file>