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Web"/>
        <w:rPr/>
      </w:pPr>
      <w:r>
        <w:rPr/>
        <w:t xml:space="preserve">Approximately twenty-seven statues of </w:t>
      </w:r>
      <w:hyperlink r:id="rId2">
        <w:r>
          <w:rPr>
            <w:rStyle w:val="InternetLink"/>
          </w:rPr>
          <w:t>Gudea</w:t>
        </w:r>
      </w:hyperlink>
      <w:r>
        <w:rPr/>
        <w:t>, a ruler (</w:t>
      </w:r>
      <w:hyperlink r:id="rId3">
        <w:r>
          <w:rPr>
            <w:rStyle w:val="InternetLink"/>
          </w:rPr>
          <w:t>ensi</w:t>
        </w:r>
      </w:hyperlink>
      <w:r>
        <w:rPr/>
        <w:t xml:space="preserve">) of the state of </w:t>
      </w:r>
      <w:hyperlink r:id="rId4">
        <w:r>
          <w:rPr>
            <w:rStyle w:val="InternetLink"/>
          </w:rPr>
          <w:t>Lagash</w:t>
        </w:r>
      </w:hyperlink>
      <w:r>
        <w:rPr/>
        <w:t xml:space="preserve"> have been found in southern </w:t>
      </w:r>
      <w:hyperlink r:id="rId5">
        <w:r>
          <w:rPr>
            <w:rStyle w:val="InternetLink"/>
          </w:rPr>
          <w:t>Mesopotamia</w:t>
        </w:r>
      </w:hyperlink>
      <w:r>
        <w:rPr/>
        <w:t>. Gudea ruled between ca. 2144 - 2124 BC and the statues demonstrate a very sophisticated level of craftsmanship for the time. The known statues have been categorised 'A-AA' by archaeologists.</w:t>
      </w:r>
    </w:p>
    <w:p>
      <w:pPr>
        <w:pStyle w:val="Heading2"/>
        <w:rPr/>
      </w:pPr>
      <w:r>
        <w:rPr/>
        <w:t>Contents</w:t>
      </w:r>
    </w:p>
    <w:p>
      <w:pPr>
        <w:pStyle w:val="Normal"/>
        <w:numPr>
          <w:ilvl w:val="0"/>
          <w:numId w:val="3"/>
        </w:numPr>
        <w:spacing w:before="0" w:after="0"/>
        <w:rPr/>
      </w:pPr>
      <w:r>
        <w:fldChar w:fldCharType="begin"/>
      </w:r>
      <w:r>
        <w:rPr>
          <w:rStyle w:val="Tocnumber"/>
          <w:u w:val="single"/>
        </w:rPr>
        <w:instrText> HYPERLINK "https://en.wikipedia.org/wiki/Statues_of_Gudea" \l "Provenance"</w:instrText>
      </w:r>
      <w:r>
        <w:rPr>
          <w:rStyle w:val="Tocnumber"/>
          <w:u w:val="single"/>
        </w:rPr>
        <w:fldChar w:fldCharType="separate"/>
      </w:r>
      <w:r>
        <w:rPr>
          <w:rStyle w:val="Tocnumber"/>
          <w:color w:val="0000FF"/>
          <w:u w:val="single"/>
        </w:rPr>
        <w:t>1</w:t>
      </w:r>
      <w:r>
        <w:rPr>
          <w:rStyle w:val="Tocnumber"/>
          <w:u w:val="single"/>
        </w:rPr>
        <w:fldChar w:fldCharType="end"/>
      </w:r>
      <w:r>
        <w:rPr>
          <w:rStyle w:val="InternetLink"/>
        </w:rPr>
        <w:t xml:space="preserve"> </w:t>
      </w:r>
      <w:r>
        <w:rPr>
          <w:rStyle w:val="Toctext"/>
          <w:color w:val="0000FF"/>
          <w:u w:val="single"/>
        </w:rPr>
        <w:t>Provenance</w:t>
      </w:r>
    </w:p>
    <w:p>
      <w:pPr>
        <w:pStyle w:val="Normal"/>
        <w:numPr>
          <w:ilvl w:val="0"/>
          <w:numId w:val="3"/>
        </w:numPr>
        <w:spacing w:before="0" w:after="0"/>
        <w:rPr/>
      </w:pPr>
      <w:r>
        <w:fldChar w:fldCharType="begin"/>
      </w:r>
      <w:r>
        <w:rPr>
          <w:rStyle w:val="Tocnumber"/>
          <w:u w:val="single"/>
        </w:rPr>
        <w:instrText> HYPERLINK "https://en.wikipedia.org/wiki/Statues_of_Gudea" \l "Description_and_purpose"</w:instrText>
      </w:r>
      <w:r>
        <w:rPr>
          <w:rStyle w:val="Tocnumber"/>
          <w:u w:val="single"/>
        </w:rPr>
        <w:fldChar w:fldCharType="separate"/>
      </w:r>
      <w:r>
        <w:rPr>
          <w:rStyle w:val="Tocnumber"/>
          <w:color w:val="0000FF"/>
          <w:u w:val="single"/>
        </w:rPr>
        <w:t>2</w:t>
      </w:r>
      <w:r>
        <w:rPr>
          <w:rStyle w:val="Tocnumber"/>
          <w:u w:val="single"/>
        </w:rPr>
        <w:fldChar w:fldCharType="end"/>
      </w:r>
      <w:r>
        <w:rPr>
          <w:rStyle w:val="InternetLink"/>
        </w:rPr>
        <w:t xml:space="preserve"> </w:t>
      </w:r>
      <w:r>
        <w:rPr>
          <w:rStyle w:val="Toctext"/>
          <w:color w:val="0000FF"/>
          <w:u w:val="single"/>
        </w:rPr>
        <w:t>Description and purpose</w:t>
      </w:r>
    </w:p>
    <w:p>
      <w:pPr>
        <w:pStyle w:val="Normal"/>
        <w:numPr>
          <w:ilvl w:val="0"/>
          <w:numId w:val="3"/>
        </w:numPr>
        <w:spacing w:before="0" w:after="0"/>
        <w:rPr/>
      </w:pPr>
      <w:r>
        <w:fldChar w:fldCharType="begin"/>
      </w:r>
      <w:r>
        <w:rPr>
          <w:rStyle w:val="Tocnumber"/>
          <w:u w:val="single"/>
        </w:rPr>
        <w:instrText> HYPERLINK "https://en.wikipedia.org/wiki/Statues_of_Gudea" \l "Size_and_material"</w:instrText>
      </w:r>
      <w:r>
        <w:rPr>
          <w:rStyle w:val="Tocnumber"/>
          <w:u w:val="single"/>
        </w:rPr>
        <w:fldChar w:fldCharType="separate"/>
      </w:r>
      <w:r>
        <w:rPr>
          <w:rStyle w:val="Tocnumber"/>
          <w:color w:val="0000FF"/>
          <w:u w:val="single"/>
        </w:rPr>
        <w:t>3</w:t>
      </w:r>
      <w:r>
        <w:rPr>
          <w:rStyle w:val="Tocnumber"/>
          <w:u w:val="single"/>
        </w:rPr>
        <w:fldChar w:fldCharType="end"/>
      </w:r>
      <w:r>
        <w:rPr>
          <w:rStyle w:val="InternetLink"/>
        </w:rPr>
        <w:t xml:space="preserve"> </w:t>
      </w:r>
      <w:r>
        <w:rPr>
          <w:rStyle w:val="Toctext"/>
          <w:color w:val="0000FF"/>
          <w:u w:val="single"/>
        </w:rPr>
        <w:t>Size and material</w:t>
      </w:r>
    </w:p>
    <w:p>
      <w:pPr>
        <w:pStyle w:val="Normal"/>
        <w:numPr>
          <w:ilvl w:val="0"/>
          <w:numId w:val="3"/>
        </w:numPr>
        <w:spacing w:before="0" w:after="0"/>
        <w:rPr/>
      </w:pPr>
      <w:r>
        <w:fldChar w:fldCharType="begin"/>
      </w:r>
      <w:r>
        <w:rPr>
          <w:rStyle w:val="Tocnumber"/>
          <w:u w:val="single"/>
        </w:rPr>
        <w:instrText> HYPERLINK "https://en.wikipedia.org/wiki/Statues_of_Gudea" \l "Dedicatory_inscription"</w:instrText>
      </w:r>
      <w:r>
        <w:rPr>
          <w:rStyle w:val="Tocnumber"/>
          <w:u w:val="single"/>
        </w:rPr>
        <w:fldChar w:fldCharType="separate"/>
      </w:r>
      <w:r>
        <w:rPr>
          <w:rStyle w:val="Tocnumber"/>
          <w:color w:val="0000FF"/>
          <w:u w:val="single"/>
        </w:rPr>
        <w:t>4</w:t>
      </w:r>
      <w:r>
        <w:rPr>
          <w:rStyle w:val="Tocnumber"/>
          <w:u w:val="single"/>
        </w:rPr>
        <w:fldChar w:fldCharType="end"/>
      </w:r>
      <w:r>
        <w:rPr>
          <w:rStyle w:val="InternetLink"/>
        </w:rPr>
        <w:t xml:space="preserve"> </w:t>
      </w:r>
      <w:r>
        <w:rPr>
          <w:rStyle w:val="Toctext"/>
          <w:color w:val="0000FF"/>
          <w:u w:val="single"/>
        </w:rPr>
        <w:t>Dedicatory inscription</w:t>
      </w:r>
    </w:p>
    <w:p>
      <w:pPr>
        <w:pStyle w:val="Normal"/>
        <w:numPr>
          <w:ilvl w:val="0"/>
          <w:numId w:val="3"/>
        </w:numPr>
        <w:spacing w:before="0" w:after="0"/>
        <w:rPr/>
      </w:pPr>
      <w:r>
        <w:fldChar w:fldCharType="begin"/>
      </w:r>
      <w:r>
        <w:rPr>
          <w:rStyle w:val="Tocnumber"/>
          <w:u w:val="single"/>
        </w:rPr>
        <w:instrText> HYPERLINK "https://en.wikipedia.org/wiki/Statues_of_Gudea" \l "Table_of_statues"</w:instrText>
      </w:r>
      <w:r>
        <w:rPr>
          <w:rStyle w:val="Tocnumber"/>
          <w:u w:val="single"/>
        </w:rPr>
        <w:fldChar w:fldCharType="separate"/>
      </w:r>
      <w:r>
        <w:rPr>
          <w:rStyle w:val="Tocnumber"/>
          <w:color w:val="0000FF"/>
          <w:u w:val="single"/>
        </w:rPr>
        <w:t>5</w:t>
      </w:r>
      <w:r>
        <w:rPr>
          <w:rStyle w:val="Tocnumber"/>
          <w:u w:val="single"/>
        </w:rPr>
        <w:fldChar w:fldCharType="end"/>
      </w:r>
      <w:r>
        <w:rPr>
          <w:rStyle w:val="InternetLink"/>
        </w:rPr>
        <w:t xml:space="preserve"> </w:t>
      </w:r>
      <w:r>
        <w:rPr>
          <w:rStyle w:val="Toctext"/>
          <w:color w:val="0000FF"/>
          <w:u w:val="single"/>
        </w:rPr>
        <w:t>Table of statues</w:t>
      </w:r>
    </w:p>
    <w:p>
      <w:pPr>
        <w:pStyle w:val="Normal"/>
        <w:numPr>
          <w:ilvl w:val="0"/>
          <w:numId w:val="3"/>
        </w:numPr>
        <w:spacing w:before="0" w:after="0"/>
        <w:rPr/>
      </w:pPr>
      <w:r>
        <w:fldChar w:fldCharType="begin"/>
      </w:r>
      <w:r>
        <w:rPr>
          <w:rStyle w:val="Tocnumber"/>
          <w:u w:val="single"/>
        </w:rPr>
        <w:instrText> HYPERLINK "https://en.wikipedia.org/wiki/Statues_of_Gudea" \l "Further_reading"</w:instrText>
      </w:r>
      <w:r>
        <w:rPr>
          <w:rStyle w:val="Tocnumber"/>
          <w:u w:val="single"/>
        </w:rPr>
        <w:fldChar w:fldCharType="separate"/>
      </w:r>
      <w:r>
        <w:rPr>
          <w:rStyle w:val="Tocnumber"/>
          <w:color w:val="0000FF"/>
          <w:u w:val="single"/>
        </w:rPr>
        <w:t>6</w:t>
      </w:r>
      <w:r>
        <w:rPr>
          <w:rStyle w:val="Tocnumber"/>
          <w:u w:val="single"/>
        </w:rPr>
        <w:fldChar w:fldCharType="end"/>
      </w:r>
      <w:r>
        <w:rPr>
          <w:rStyle w:val="InternetLink"/>
        </w:rPr>
        <w:t xml:space="preserve"> </w:t>
      </w:r>
      <w:r>
        <w:rPr>
          <w:rStyle w:val="Toctext"/>
          <w:color w:val="0000FF"/>
          <w:u w:val="single"/>
        </w:rPr>
        <w:t>Further reading</w:t>
      </w:r>
    </w:p>
    <w:p>
      <w:pPr>
        <w:pStyle w:val="Normal"/>
        <w:numPr>
          <w:ilvl w:val="0"/>
          <w:numId w:val="3"/>
        </w:numPr>
        <w:spacing w:before="0" w:after="0"/>
        <w:rPr/>
      </w:pPr>
      <w:r>
        <w:fldChar w:fldCharType="begin"/>
      </w:r>
      <w:r>
        <w:rPr>
          <w:rStyle w:val="Tocnumber"/>
          <w:u w:val="single"/>
        </w:rPr>
        <w:instrText> HYPERLINK "https://en.wikipedia.org/wiki/Statues_of_Gudea" \l "References"</w:instrText>
      </w:r>
      <w:r>
        <w:rPr>
          <w:rStyle w:val="Tocnumber"/>
          <w:u w:val="single"/>
        </w:rPr>
        <w:fldChar w:fldCharType="separate"/>
      </w:r>
      <w:r>
        <w:rPr>
          <w:rStyle w:val="Tocnumber"/>
          <w:color w:val="0000FF"/>
          <w:u w:val="single"/>
        </w:rPr>
        <w:t>7</w:t>
      </w:r>
      <w:r>
        <w:rPr>
          <w:rStyle w:val="Tocnumber"/>
          <w:u w:val="single"/>
        </w:rPr>
        <w:fldChar w:fldCharType="end"/>
      </w:r>
      <w:r>
        <w:rPr>
          <w:rStyle w:val="InternetLink"/>
        </w:rPr>
        <w:t xml:space="preserve"> </w:t>
      </w:r>
      <w:r>
        <w:rPr>
          <w:rStyle w:val="Toctext"/>
          <w:color w:val="0000FF"/>
          <w:u w:val="single"/>
        </w:rPr>
        <w:t>References</w:t>
      </w:r>
    </w:p>
    <w:p>
      <w:pPr>
        <w:pStyle w:val="Normal"/>
        <w:numPr>
          <w:ilvl w:val="0"/>
          <w:numId w:val="3"/>
        </w:numPr>
        <w:spacing w:before="0" w:after="280"/>
        <w:rPr/>
      </w:pPr>
      <w:r>
        <w:fldChar w:fldCharType="begin"/>
      </w:r>
      <w:r>
        <w:rPr>
          <w:rStyle w:val="Tocnumber"/>
          <w:u w:val="single"/>
        </w:rPr>
        <w:instrText> HYPERLINK "https://en.wikipedia.org/wiki/Statues_of_Gudea" \l "External_links"</w:instrText>
      </w:r>
      <w:r>
        <w:rPr>
          <w:rStyle w:val="Tocnumber"/>
          <w:u w:val="single"/>
        </w:rPr>
        <w:fldChar w:fldCharType="separate"/>
      </w:r>
      <w:r>
        <w:rPr>
          <w:rStyle w:val="Tocnumber"/>
          <w:color w:val="0000FF"/>
          <w:u w:val="single"/>
        </w:rPr>
        <w:t>8</w:t>
      </w:r>
      <w:r>
        <w:rPr>
          <w:rStyle w:val="Tocnumber"/>
          <w:u w:val="single"/>
        </w:rPr>
        <w:fldChar w:fldCharType="end"/>
      </w:r>
      <w:r>
        <w:rPr>
          <w:rStyle w:val="InternetLink"/>
        </w:rPr>
        <w:t xml:space="preserve"> </w:t>
      </w:r>
      <w:r>
        <w:rPr>
          <w:rStyle w:val="Toctext"/>
          <w:color w:val="0000FF"/>
          <w:u w:val="single"/>
        </w:rPr>
        <w:t>External links</w:t>
      </w:r>
    </w:p>
    <w:p>
      <w:pPr>
        <w:pStyle w:val="Heading2"/>
        <w:rPr/>
      </w:pPr>
      <w:r>
        <w:rPr>
          <w:rStyle w:val="Mwheadline"/>
        </w:rPr>
        <w:t>Provenance</w:t>
      </w:r>
    </w:p>
    <w:p>
      <w:pPr>
        <w:pStyle w:val="NormalWeb"/>
        <w:rPr/>
      </w:pPr>
      <w:r>
        <w:rPr/>
        <w:t xml:space="preserve">Statues A-K were found during </w:t>
      </w:r>
      <w:hyperlink r:id="rId6">
        <w:r>
          <w:rPr>
            <w:rStyle w:val="InternetLink"/>
          </w:rPr>
          <w:t>Ernest de Sarzec</w:t>
        </w:r>
      </w:hyperlink>
      <w:r>
        <w:rPr/>
        <w:t xml:space="preserve">'s excavations in the court of the palace of </w:t>
      </w:r>
      <w:hyperlink r:id="rId7">
        <w:r>
          <w:rPr>
            <w:rStyle w:val="InternetLink"/>
          </w:rPr>
          <w:t>Adad-nadin-ahhe</w:t>
        </w:r>
      </w:hyperlink>
      <w:r>
        <w:rPr/>
        <w:t xml:space="preserve"> in </w:t>
      </w:r>
      <w:hyperlink r:id="rId8">
        <w:r>
          <w:rPr>
            <w:rStyle w:val="InternetLink"/>
          </w:rPr>
          <w:t>Telloh</w:t>
        </w:r>
      </w:hyperlink>
      <w:r>
        <w:rPr/>
        <w:t xml:space="preserve"> (ancient Girsu). Statues M-Q come from clandestine excavations in Telloh in 1924; the rest come from the art trade, with unknown provenances and sometimes of doubtful </w:t>
      </w:r>
      <w:hyperlink r:id="rId9">
        <w:r>
          <w:rPr>
            <w:rStyle w:val="InternetLink"/>
          </w:rPr>
          <w:t>authenticity</w:t>
        </w:r>
      </w:hyperlink>
      <w:r>
        <w:rPr/>
        <w:t xml:space="preserve">. Figures L and R do not represent </w:t>
      </w:r>
      <w:hyperlink r:id="rId10">
        <w:r>
          <w:rPr>
            <w:rStyle w:val="InternetLink"/>
          </w:rPr>
          <w:t>Gudea</w:t>
        </w:r>
      </w:hyperlink>
      <w:r>
        <w:rPr/>
        <w:t xml:space="preserve"> with reasonable certainty.</w:t>
      </w:r>
    </w:p>
    <w:p>
      <w:pPr>
        <w:pStyle w:val="Heading2"/>
        <w:rPr/>
      </w:pPr>
      <w:r>
        <w:rPr>
          <w:rStyle w:val="Mwheadline"/>
        </w:rPr>
        <w:t>Description and purpose</w:t>
      </w:r>
    </w:p>
    <w:p>
      <w:pPr>
        <w:pStyle w:val="NormalWeb"/>
        <w:rPr/>
      </w:pPr>
      <w:r>
        <w:rPr/>
        <w:t xml:space="preserve">The statues were to represent the ruler in temples, to offer a constant prayer in his stead; offerings were made to these. Most of the statues bear an inscribed dedication explaining to which god it was dedicated. Gudea is either sitting or standing; in one case (N), he holds a water-jug </w:t>
      </w:r>
      <w:r>
        <w:rPr>
          <w:i/>
          <w:iCs/>
        </w:rPr>
        <w:t>au vase jaillissant</w:t>
      </w:r>
      <w:r>
        <w:rPr/>
        <w:t xml:space="preserve">. He normally wears a close fitting </w:t>
      </w:r>
      <w:hyperlink r:id="rId11">
        <w:r>
          <w:rPr>
            <w:rStyle w:val="InternetLink"/>
            <w:i/>
            <w:iCs/>
          </w:rPr>
          <w:t>kaunakes</w:t>
        </w:r>
      </w:hyperlink>
      <w:r>
        <w:rPr/>
        <w:t xml:space="preserve">, maybe made of sheep-skin, and a long tasseled dress. Only in one example (M, Soclet-statue) he wears a different dress, reminiscent of the Akkadian royal costume (torso of </w:t>
      </w:r>
      <w:hyperlink r:id="rId12">
        <w:r>
          <w:rPr>
            <w:rStyle w:val="InternetLink"/>
          </w:rPr>
          <w:t>Manishtushu</w:t>
        </w:r>
      </w:hyperlink>
      <w:r>
        <w:rPr/>
        <w:t>). On the lap of one of them (statue B) is the plan of his palace, with the scale of measurement attached. Statue F is similar to statue B; both are missing their heads, and have on their lap a board with a measuring scale and a stylus, only statue F doesn't have a ground plan.</w:t>
      </w:r>
    </w:p>
    <w:p>
      <w:pPr>
        <w:pStyle w:val="Heading2"/>
        <w:rPr/>
      </w:pPr>
      <w:r>
        <w:rPr>
          <w:rStyle w:val="Mwheadline"/>
        </w:rPr>
        <w:t>Size and material</w:t>
      </w:r>
    </w:p>
    <w:p>
      <w:pPr>
        <w:pStyle w:val="NormalWeb"/>
        <w:rPr>
          <w:vertAlign w:val="superscript"/>
        </w:rPr>
      </w:pPr>
      <w:r>
        <w:rPr/>
        <w:t>It seems that the early statues are small and made of more local stones (</w:t>
      </w:r>
      <w:hyperlink r:id="rId13">
        <w:r>
          <w:rPr>
            <w:rStyle w:val="InternetLink"/>
          </w:rPr>
          <w:t>limestone</w:t>
        </w:r>
      </w:hyperlink>
      <w:r>
        <w:rPr/>
        <w:t xml:space="preserve">, </w:t>
      </w:r>
      <w:hyperlink r:id="rId14">
        <w:r>
          <w:rPr>
            <w:rStyle w:val="InternetLink"/>
          </w:rPr>
          <w:t>steatite</w:t>
        </w:r>
      </w:hyperlink>
      <w:r>
        <w:rPr/>
        <w:t xml:space="preserve"> and </w:t>
      </w:r>
      <w:hyperlink r:id="rId15">
        <w:r>
          <w:rPr>
            <w:rStyle w:val="InternetLink"/>
          </w:rPr>
          <w:t>alabaster</w:t>
        </w:r>
      </w:hyperlink>
      <w:r>
        <w:rPr/>
        <w:t xml:space="preserve">); later, when wide-ranging trade-connections had been established, the more costly exotic </w:t>
      </w:r>
      <w:hyperlink r:id="rId16">
        <w:r>
          <w:rPr>
            <w:rStyle w:val="InternetLink"/>
          </w:rPr>
          <w:t>diorite</w:t>
        </w:r>
      </w:hyperlink>
      <w:r>
        <w:rPr/>
        <w:t xml:space="preserve"> was used. Diorite had already been used by old Sumerian rulers (Statue of </w:t>
      </w:r>
      <w:hyperlink r:id="rId17">
        <w:r>
          <w:rPr>
            <w:rStyle w:val="InternetLink"/>
          </w:rPr>
          <w:t>Entemena</w:t>
        </w:r>
      </w:hyperlink>
      <w:r>
        <w:rPr/>
        <w:t xml:space="preserve">). According to the inscriptions, the diorite (or </w:t>
      </w:r>
      <w:hyperlink r:id="rId18">
        <w:r>
          <w:rPr>
            <w:rStyle w:val="InternetLink"/>
          </w:rPr>
          <w:t>gabbro</w:t>
        </w:r>
      </w:hyperlink>
      <w:r>
        <w:rPr/>
        <w:t xml:space="preserve">, </w:t>
      </w:r>
      <w:r>
        <w:rPr>
          <w:i/>
          <w:iCs/>
          <w:vertAlign w:val="superscript"/>
        </w:rPr>
        <w:t>na4</w:t>
      </w:r>
      <w:r>
        <w:rPr>
          <w:i/>
          <w:iCs/>
        </w:rPr>
        <w:t>esi</w:t>
      </w:r>
      <w:r>
        <w:rPr/>
        <w:t xml:space="preserve">) came from </w:t>
      </w:r>
      <w:hyperlink r:id="rId19">
        <w:r>
          <w:rPr>
            <w:rStyle w:val="InternetLink"/>
          </w:rPr>
          <w:t>Magan</w:t>
        </w:r>
      </w:hyperlink>
      <w:r>
        <w:rPr/>
        <w:t xml:space="preserve">. The remnants of a very large diorite statue in the </w:t>
      </w:r>
      <w:hyperlink r:id="rId20">
        <w:r>
          <w:rPr>
            <w:rStyle w:val="InternetLink"/>
          </w:rPr>
          <w:t>British Museum</w:t>
        </w:r>
      </w:hyperlink>
      <w:r>
        <w:rPr/>
        <w:t xml:space="preserve"> may be a representation of Gudea, but this cannot be determined with certainty. What remains of the statue is 1.5m high (and weighs over 1250 kg), meaning that if it was fully reconstructed the statue would be well over 3 metres high and the largest yet discovered sculpture of the ruler.</w:t>
      </w:r>
      <w:r>
        <w:fldChar w:fldCharType="begin"/>
      </w:r>
      <w:r>
        <w:rPr>
          <w:rStyle w:val="InternetLink"/>
          <w:vertAlign w:val="superscript"/>
        </w:rPr>
        <w:instrText> HYPERLINK "https://en.wikipedia.org/wiki/Statues_of_Gudea"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Heading2"/>
        <w:rPr/>
      </w:pPr>
      <w:r>
        <w:rPr>
          <w:rStyle w:val="Mwheadline"/>
        </w:rPr>
        <w:t>Dedicatory inscription</w:t>
      </w:r>
    </w:p>
    <w:p>
      <w:pPr>
        <w:pStyle w:val="NormalWeb"/>
        <w:rPr/>
      </w:pPr>
      <w:r>
        <w:rPr/>
        <w:t xml:space="preserve">The dedication of the diorite statues normally tell how </w:t>
      </w:r>
      <w:hyperlink r:id="rId21">
        <w:r>
          <w:rPr>
            <w:rStyle w:val="InternetLink"/>
            <w:i/>
            <w:iCs/>
          </w:rPr>
          <w:t>ensi</w:t>
        </w:r>
      </w:hyperlink>
      <w:r>
        <w:rPr/>
        <w:t xml:space="preserve"> Gudea had diorite brought from the mountains of Magan, formed it as a statue of himself, called by name to honour god/goddess (x) and had the statue brought into the temple of (y). Most of the big (almost lifesize, D is even bigger than life) statues are dedicated to the top gods of </w:t>
      </w:r>
      <w:hyperlink r:id="rId22">
        <w:r>
          <w:rPr>
            <w:rStyle w:val="InternetLink"/>
          </w:rPr>
          <w:t>Lagash</w:t>
        </w:r>
      </w:hyperlink>
      <w:r>
        <w:rPr/>
        <w:t xml:space="preserve">: </w:t>
      </w:r>
      <w:hyperlink r:id="rId23">
        <w:r>
          <w:rPr>
            <w:rStyle w:val="InternetLink"/>
          </w:rPr>
          <w:t>Ningirsu</w:t>
        </w:r>
      </w:hyperlink>
      <w:r>
        <w:rPr/>
        <w:t xml:space="preserve">, his wife </w:t>
      </w:r>
      <w:hyperlink r:id="rId24">
        <w:r>
          <w:rPr>
            <w:rStyle w:val="InternetLink"/>
          </w:rPr>
          <w:t>Ba'u</w:t>
        </w:r>
      </w:hyperlink>
      <w:r>
        <w:rPr/>
        <w:t xml:space="preserve">, the goddesses </w:t>
      </w:r>
      <w:hyperlink r:id="rId25">
        <w:r>
          <w:rPr>
            <w:rStyle w:val="InternetLink"/>
          </w:rPr>
          <w:t>Gatumdu</w:t>
        </w:r>
      </w:hyperlink>
      <w:r>
        <w:rPr/>
        <w:t xml:space="preserve"> and </w:t>
      </w:r>
      <w:hyperlink r:id="rId26">
        <w:r>
          <w:rPr>
            <w:rStyle w:val="InternetLink"/>
          </w:rPr>
          <w:t>Inanna</w:t>
        </w:r>
      </w:hyperlink>
      <w:r>
        <w:rPr/>
        <w:t xml:space="preserve"> and </w:t>
      </w:r>
      <w:hyperlink r:id="rId27">
        <w:r>
          <w:rPr>
            <w:rStyle w:val="InternetLink"/>
          </w:rPr>
          <w:t>Ninhursanga</w:t>
        </w:r>
      </w:hyperlink>
      <w:r>
        <w:rPr/>
        <w:t xml:space="preserve"> as the "Mother of the gods". Q is dedicated to </w:t>
      </w:r>
      <w:hyperlink r:id="rId28">
        <w:r>
          <w:rPr>
            <w:rStyle w:val="InternetLink"/>
          </w:rPr>
          <w:t>Ningiszida</w:t>
        </w:r>
      </w:hyperlink>
      <w:r>
        <w:rPr/>
        <w:t xml:space="preserve">, Gudea's personal protective deity more properly connected to </w:t>
      </w:r>
      <w:hyperlink r:id="rId29">
        <w:r>
          <w:rPr>
            <w:rStyle w:val="InternetLink"/>
          </w:rPr>
          <w:t>Fara</w:t>
        </w:r>
      </w:hyperlink>
      <w:r>
        <w:rPr/>
        <w:t xml:space="preserve"> and </w:t>
      </w:r>
      <w:hyperlink r:id="rId30">
        <w:r>
          <w:rPr>
            <w:rStyle w:val="InternetLink"/>
          </w:rPr>
          <w:t>Abu Salabikh</w:t>
        </w:r>
      </w:hyperlink>
      <w:r>
        <w:rPr/>
        <w:t xml:space="preserve">, the smaller M, N and O to his "wife" </w:t>
      </w:r>
      <w:hyperlink r:id="rId31">
        <w:r>
          <w:rPr>
            <w:rStyle w:val="InternetLink"/>
          </w:rPr>
          <w:t>Gestinanna</w:t>
        </w:r>
      </w:hyperlink>
      <w:r>
        <w:rPr/>
        <w:t>. The connection between Ningiszida and Gestinanna was probably invented by Gudea in order to effect a closer connection to Lagash.</w:t>
      </w:r>
    </w:p>
    <w:p>
      <w:pPr>
        <w:pStyle w:val="Heading2"/>
        <w:rPr/>
      </w:pPr>
      <w:r>
        <w:rPr>
          <w:rStyle w:val="Mwheadline"/>
        </w:rPr>
        <w:t>Table of statues</w:t>
      </w:r>
    </w:p>
    <w:tbl>
      <w:tblPr>
        <w:tblW w:w="10344" w:type="dxa"/>
        <w:jc w:val="start"/>
        <w:tblInd w:w="-60" w:type="dxa"/>
        <w:tblBorders/>
        <w:tblCellMar>
          <w:top w:w="15" w:type="dxa"/>
          <w:start w:w="15" w:type="dxa"/>
          <w:bottom w:w="15" w:type="dxa"/>
          <w:end w:w="15" w:type="dxa"/>
        </w:tblCellMar>
      </w:tblPr>
      <w:tblGrid>
        <w:gridCol w:w="959"/>
        <w:gridCol w:w="1263"/>
        <w:gridCol w:w="817"/>
        <w:gridCol w:w="904"/>
        <w:gridCol w:w="1547"/>
        <w:gridCol w:w="1930"/>
        <w:gridCol w:w="1635"/>
        <w:gridCol w:w="1289"/>
      </w:tblGrid>
      <w:tr>
        <w:trPr/>
        <w:tc>
          <w:tcPr>
            <w:tcW w:w="959" w:type="dxa"/>
            <w:tcBorders/>
            <w:shd w:fill="auto" w:val="clear"/>
            <w:vAlign w:val="center"/>
          </w:tcPr>
          <w:p>
            <w:pPr>
              <w:pStyle w:val="Normal"/>
              <w:jc w:val="center"/>
              <w:rPr>
                <w:b/>
                <w:b/>
                <w:bCs/>
              </w:rPr>
            </w:pPr>
            <w:r>
              <w:rPr>
                <w:b/>
                <w:bCs/>
              </w:rPr>
              <w:t>Number</w:t>
            </w:r>
          </w:p>
        </w:tc>
        <w:tc>
          <w:tcPr>
            <w:tcW w:w="1263" w:type="dxa"/>
            <w:tcBorders/>
            <w:shd w:fill="auto" w:val="clear"/>
            <w:vAlign w:val="center"/>
          </w:tcPr>
          <w:p>
            <w:pPr>
              <w:pStyle w:val="Normal"/>
              <w:jc w:val="center"/>
              <w:rPr>
                <w:b/>
                <w:b/>
                <w:bCs/>
              </w:rPr>
            </w:pPr>
            <w:r>
              <w:rPr>
                <w:b/>
                <w:bCs/>
              </w:rPr>
              <w:t>Material</w:t>
            </w:r>
          </w:p>
        </w:tc>
        <w:tc>
          <w:tcPr>
            <w:tcW w:w="817" w:type="dxa"/>
            <w:tcBorders/>
            <w:shd w:fill="auto" w:val="clear"/>
            <w:vAlign w:val="center"/>
          </w:tcPr>
          <w:p>
            <w:pPr>
              <w:pStyle w:val="Normal"/>
              <w:jc w:val="center"/>
              <w:rPr>
                <w:b/>
                <w:b/>
                <w:bCs/>
              </w:rPr>
            </w:pPr>
            <w:r>
              <w:rPr>
                <w:b/>
                <w:bCs/>
              </w:rPr>
              <w:t>Size</w:t>
            </w:r>
          </w:p>
        </w:tc>
        <w:tc>
          <w:tcPr>
            <w:tcW w:w="904" w:type="dxa"/>
            <w:tcBorders/>
            <w:shd w:fill="auto" w:val="clear"/>
            <w:vAlign w:val="center"/>
          </w:tcPr>
          <w:p>
            <w:pPr>
              <w:pStyle w:val="Normal"/>
              <w:jc w:val="center"/>
              <w:rPr>
                <w:b/>
                <w:b/>
                <w:bCs/>
              </w:rPr>
            </w:pPr>
            <w:r>
              <w:rPr>
                <w:b/>
                <w:bCs/>
              </w:rPr>
              <w:t>Posture</w:t>
            </w:r>
          </w:p>
        </w:tc>
        <w:tc>
          <w:tcPr>
            <w:tcW w:w="1547" w:type="dxa"/>
            <w:tcBorders/>
            <w:shd w:fill="auto" w:val="clear"/>
            <w:vAlign w:val="center"/>
          </w:tcPr>
          <w:p>
            <w:pPr>
              <w:pStyle w:val="Normal"/>
              <w:jc w:val="center"/>
              <w:rPr>
                <w:b/>
                <w:b/>
                <w:bCs/>
              </w:rPr>
            </w:pPr>
            <w:r>
              <w:rPr>
                <w:b/>
                <w:bCs/>
              </w:rPr>
              <w:t>Provenance</w:t>
            </w:r>
          </w:p>
        </w:tc>
        <w:tc>
          <w:tcPr>
            <w:tcW w:w="1930" w:type="dxa"/>
            <w:tcBorders/>
            <w:shd w:fill="auto" w:val="clear"/>
            <w:vAlign w:val="center"/>
          </w:tcPr>
          <w:p>
            <w:pPr>
              <w:pStyle w:val="Normal"/>
              <w:jc w:val="center"/>
              <w:rPr>
                <w:b/>
                <w:b/>
                <w:bCs/>
              </w:rPr>
            </w:pPr>
            <w:r>
              <w:rPr>
                <w:b/>
                <w:bCs/>
              </w:rPr>
              <w:t>Dedicated to</w:t>
            </w:r>
          </w:p>
        </w:tc>
        <w:tc>
          <w:tcPr>
            <w:tcW w:w="1635" w:type="dxa"/>
            <w:tcBorders/>
            <w:shd w:fill="auto" w:val="clear"/>
            <w:vAlign w:val="center"/>
          </w:tcPr>
          <w:p>
            <w:pPr>
              <w:pStyle w:val="Normal"/>
              <w:jc w:val="center"/>
              <w:rPr>
                <w:b/>
                <w:b/>
                <w:bCs/>
              </w:rPr>
            </w:pPr>
            <w:r>
              <w:rPr>
                <w:b/>
                <w:bCs/>
              </w:rPr>
              <w:t>Today at</w:t>
            </w:r>
          </w:p>
        </w:tc>
        <w:tc>
          <w:tcPr>
            <w:tcW w:w="1289" w:type="dxa"/>
            <w:tcBorders/>
            <w:shd w:fill="auto" w:val="clear"/>
            <w:vAlign w:val="center"/>
          </w:tcPr>
          <w:p>
            <w:pPr>
              <w:pStyle w:val="Normal"/>
              <w:jc w:val="center"/>
              <w:rPr>
                <w:b/>
                <w:b/>
                <w:bCs/>
              </w:rPr>
            </w:pPr>
            <w:r>
              <w:rPr>
                <w:b/>
                <w:bCs/>
              </w:rPr>
              <w:t>Museum catalogue number</w:t>
            </w:r>
          </w:p>
        </w:tc>
      </w:tr>
      <w:tr>
        <w:trPr/>
        <w:tc>
          <w:tcPr>
            <w:tcW w:w="959" w:type="dxa"/>
            <w:tcBorders/>
            <w:shd w:fill="auto" w:val="clear"/>
            <w:vAlign w:val="center"/>
          </w:tcPr>
          <w:p>
            <w:pPr>
              <w:pStyle w:val="Normal"/>
              <w:rPr/>
            </w:pPr>
            <w:r>
              <w:rPr/>
              <w:t>A</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1.24m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Ninhursanga/Nintu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8</w:t>
            </w:r>
          </w:p>
        </w:tc>
      </w:tr>
      <w:tr>
        <w:trPr/>
        <w:tc>
          <w:tcPr>
            <w:tcW w:w="959" w:type="dxa"/>
            <w:tcBorders/>
            <w:shd w:fill="auto" w:val="clear"/>
            <w:vAlign w:val="center"/>
          </w:tcPr>
          <w:p>
            <w:pPr>
              <w:pStyle w:val="Normal"/>
              <w:rPr/>
            </w:pPr>
            <w:r>
              <w:rPr/>
              <w:t>B</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0.93m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Ningirsu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2</w:t>
            </w:r>
          </w:p>
        </w:tc>
      </w:tr>
      <w:tr>
        <w:trPr/>
        <w:tc>
          <w:tcPr>
            <w:tcW w:w="959" w:type="dxa"/>
            <w:tcBorders/>
            <w:shd w:fill="auto" w:val="clear"/>
            <w:vAlign w:val="center"/>
          </w:tcPr>
          <w:p>
            <w:pPr>
              <w:pStyle w:val="Normal"/>
              <w:rPr/>
            </w:pPr>
            <w:r>
              <w:rPr/>
              <w:t>C</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1.38m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Inanna</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5</w:t>
            </w:r>
          </w:p>
        </w:tc>
      </w:tr>
      <w:tr>
        <w:trPr/>
        <w:tc>
          <w:tcPr>
            <w:tcW w:w="959" w:type="dxa"/>
            <w:tcBorders/>
            <w:shd w:fill="auto" w:val="clear"/>
            <w:vAlign w:val="center"/>
          </w:tcPr>
          <w:p>
            <w:pPr>
              <w:pStyle w:val="Normal"/>
              <w:rPr/>
            </w:pPr>
            <w:r>
              <w:rPr/>
              <w:t>D</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1.57m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Ningirsu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1</w:t>
            </w:r>
          </w:p>
        </w:tc>
      </w:tr>
      <w:tr>
        <w:trPr/>
        <w:tc>
          <w:tcPr>
            <w:tcW w:w="959" w:type="dxa"/>
            <w:tcBorders/>
            <w:shd w:fill="auto" w:val="clear"/>
            <w:vAlign w:val="center"/>
          </w:tcPr>
          <w:p>
            <w:pPr>
              <w:pStyle w:val="Normal"/>
              <w:rPr/>
            </w:pPr>
            <w:r>
              <w:rPr/>
              <w:t>E</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1.42m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Ba'u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6</w:t>
            </w:r>
          </w:p>
        </w:tc>
      </w:tr>
      <w:tr>
        <w:trPr/>
        <w:tc>
          <w:tcPr>
            <w:tcW w:w="959" w:type="dxa"/>
            <w:tcBorders/>
            <w:shd w:fill="auto" w:val="clear"/>
            <w:vAlign w:val="center"/>
          </w:tcPr>
          <w:p>
            <w:pPr>
              <w:pStyle w:val="Normal"/>
              <w:rPr/>
            </w:pPr>
            <w:r>
              <w:rPr/>
              <w:t>F</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0.86m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Gatumdu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3</w:t>
            </w:r>
          </w:p>
        </w:tc>
      </w:tr>
      <w:tr>
        <w:trPr/>
        <w:tc>
          <w:tcPr>
            <w:tcW w:w="959" w:type="dxa"/>
            <w:tcBorders/>
            <w:shd w:fill="auto" w:val="clear"/>
            <w:vAlign w:val="center"/>
          </w:tcPr>
          <w:p>
            <w:pPr>
              <w:pStyle w:val="Normal"/>
              <w:rPr/>
            </w:pPr>
            <w:r>
              <w:rPr/>
              <w:t>G</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1.33m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Ningirsu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7</w:t>
            </w:r>
          </w:p>
        </w:tc>
      </w:tr>
      <w:tr>
        <w:trPr/>
        <w:tc>
          <w:tcPr>
            <w:tcW w:w="959" w:type="dxa"/>
            <w:tcBorders/>
            <w:shd w:fill="auto" w:val="clear"/>
            <w:vAlign w:val="center"/>
          </w:tcPr>
          <w:p>
            <w:pPr>
              <w:pStyle w:val="Normal"/>
              <w:rPr/>
            </w:pPr>
            <w:r>
              <w:rPr/>
              <w:t>H</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0.77m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Ba'u</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4</w:t>
            </w:r>
          </w:p>
        </w:tc>
      </w:tr>
      <w:tr>
        <w:trPr/>
        <w:tc>
          <w:tcPr>
            <w:tcW w:w="959" w:type="dxa"/>
            <w:tcBorders/>
            <w:shd w:fill="auto" w:val="clear"/>
            <w:vAlign w:val="center"/>
          </w:tcPr>
          <w:p>
            <w:pPr>
              <w:pStyle w:val="Normal"/>
              <w:rPr/>
            </w:pPr>
            <w:r>
              <w:rPr/>
              <w:t>I</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0.45m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Ningishzida</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3293 + AO 4108</w:t>
            </w:r>
          </w:p>
        </w:tc>
      </w:tr>
      <w:tr>
        <w:trPr/>
        <w:tc>
          <w:tcPr>
            <w:tcW w:w="959" w:type="dxa"/>
            <w:tcBorders/>
            <w:shd w:fill="auto" w:val="clear"/>
            <w:vAlign w:val="center"/>
          </w:tcPr>
          <w:p>
            <w:pPr>
              <w:pStyle w:val="Normal"/>
              <w:rPr/>
            </w:pPr>
            <w:r>
              <w:rPr/>
              <w:t>J</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K</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1.24m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excavations E. de Sarzec, Telloh</w:t>
            </w:r>
          </w:p>
        </w:tc>
        <w:tc>
          <w:tcPr>
            <w:tcW w:w="1930" w:type="dxa"/>
            <w:tcBorders/>
            <w:shd w:fill="auto" w:val="clear"/>
            <w:vAlign w:val="center"/>
          </w:tcPr>
          <w:p>
            <w:pPr>
              <w:pStyle w:val="Normal"/>
              <w:rPr/>
            </w:pPr>
            <w:r>
              <w:rPr/>
              <w:t>Ningirsu</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L</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(Kudurru)</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M</w:t>
            </w:r>
          </w:p>
        </w:tc>
        <w:tc>
          <w:tcPr>
            <w:tcW w:w="1263" w:type="dxa"/>
            <w:tcBorders/>
            <w:shd w:fill="auto" w:val="clear"/>
            <w:vAlign w:val="center"/>
          </w:tcPr>
          <w:p>
            <w:pPr>
              <w:pStyle w:val="Normal"/>
              <w:rPr/>
            </w:pPr>
            <w:r>
              <w:rPr/>
              <w:t>alabaster or paragonite</w:t>
            </w:r>
          </w:p>
        </w:tc>
        <w:tc>
          <w:tcPr>
            <w:tcW w:w="817" w:type="dxa"/>
            <w:tcBorders/>
            <w:shd w:fill="auto" w:val="clear"/>
            <w:vAlign w:val="center"/>
          </w:tcPr>
          <w:p>
            <w:pPr>
              <w:pStyle w:val="Normal"/>
              <w:rPr/>
            </w:pPr>
            <w:r>
              <w:rPr/>
              <w:t>0.41m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clandestine excavations, Telloh 1924</w:t>
            </w:r>
          </w:p>
        </w:tc>
        <w:tc>
          <w:tcPr>
            <w:tcW w:w="1930" w:type="dxa"/>
            <w:tcBorders/>
            <w:shd w:fill="auto" w:val="clear"/>
            <w:vAlign w:val="center"/>
          </w:tcPr>
          <w:p>
            <w:pPr>
              <w:pStyle w:val="Normal"/>
              <w:rPr/>
            </w:pPr>
            <w:r>
              <w:rPr/>
              <w:t>Geshtinanna</w:t>
            </w:r>
          </w:p>
        </w:tc>
        <w:tc>
          <w:tcPr>
            <w:tcW w:w="1635" w:type="dxa"/>
            <w:tcBorders/>
            <w:shd w:fill="auto" w:val="clear"/>
            <w:vAlign w:val="center"/>
          </w:tcPr>
          <w:p>
            <w:pPr>
              <w:pStyle w:val="Normal"/>
              <w:rPr/>
            </w:pPr>
            <w:r>
              <w:rPr/>
              <w:t>Detroit Institute of Arts</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N</w:t>
            </w:r>
          </w:p>
        </w:tc>
        <w:tc>
          <w:tcPr>
            <w:tcW w:w="1263" w:type="dxa"/>
            <w:tcBorders/>
            <w:shd w:fill="auto" w:val="clear"/>
            <w:vAlign w:val="center"/>
          </w:tcPr>
          <w:p>
            <w:pPr>
              <w:pStyle w:val="Normal"/>
              <w:rPr/>
            </w:pPr>
            <w:r>
              <w:rPr/>
              <w:t>dolerite, calcite or steatite</w:t>
            </w:r>
          </w:p>
        </w:tc>
        <w:tc>
          <w:tcPr>
            <w:tcW w:w="817" w:type="dxa"/>
            <w:tcBorders/>
            <w:shd w:fill="auto" w:val="clear"/>
            <w:vAlign w:val="center"/>
          </w:tcPr>
          <w:p>
            <w:pPr>
              <w:pStyle w:val="Normal"/>
              <w:rPr/>
            </w:pPr>
            <w:r>
              <w:rPr/>
              <w:t>0.61m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clandestine excavations, Telloh 1924</w:t>
            </w:r>
          </w:p>
        </w:tc>
        <w:tc>
          <w:tcPr>
            <w:tcW w:w="1930" w:type="dxa"/>
            <w:tcBorders/>
            <w:shd w:fill="auto" w:val="clear"/>
            <w:vAlign w:val="center"/>
          </w:tcPr>
          <w:p>
            <w:pPr>
              <w:pStyle w:val="Normal"/>
              <w:rPr/>
            </w:pPr>
            <w:r>
              <w:rPr/>
              <w:t>Geshtinanna</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AO 22126</w:t>
            </w:r>
          </w:p>
        </w:tc>
      </w:tr>
      <w:tr>
        <w:trPr/>
        <w:tc>
          <w:tcPr>
            <w:tcW w:w="959" w:type="dxa"/>
            <w:tcBorders/>
            <w:shd w:fill="auto" w:val="clear"/>
            <w:vAlign w:val="center"/>
          </w:tcPr>
          <w:p>
            <w:pPr>
              <w:pStyle w:val="Normal"/>
              <w:rPr/>
            </w:pPr>
            <w:r>
              <w:rPr/>
              <w:t>O</w:t>
            </w:r>
          </w:p>
        </w:tc>
        <w:tc>
          <w:tcPr>
            <w:tcW w:w="1263" w:type="dxa"/>
            <w:tcBorders/>
            <w:shd w:fill="auto" w:val="clear"/>
            <w:vAlign w:val="center"/>
          </w:tcPr>
          <w:p>
            <w:pPr>
              <w:pStyle w:val="Normal"/>
              <w:rPr/>
            </w:pPr>
            <w:r>
              <w:rPr/>
              <w:t>steatite</w:t>
            </w:r>
          </w:p>
        </w:tc>
        <w:tc>
          <w:tcPr>
            <w:tcW w:w="817" w:type="dxa"/>
            <w:tcBorders/>
            <w:shd w:fill="auto" w:val="clear"/>
            <w:vAlign w:val="center"/>
          </w:tcPr>
          <w:p>
            <w:pPr>
              <w:pStyle w:val="Normal"/>
              <w:rPr/>
            </w:pPr>
            <w:r>
              <w:rPr/>
              <w:t>0.63m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clandestine excavations, Telloh 1924</w:t>
            </w:r>
          </w:p>
        </w:tc>
        <w:tc>
          <w:tcPr>
            <w:tcW w:w="1930" w:type="dxa"/>
            <w:tcBorders/>
            <w:shd w:fill="auto" w:val="clear"/>
            <w:vAlign w:val="center"/>
          </w:tcPr>
          <w:p>
            <w:pPr>
              <w:pStyle w:val="Normal"/>
              <w:rPr/>
            </w:pPr>
            <w:r>
              <w:rPr/>
              <w:t>Geshtinanna</w:t>
            </w:r>
          </w:p>
        </w:tc>
        <w:tc>
          <w:tcPr>
            <w:tcW w:w="1635" w:type="dxa"/>
            <w:tcBorders/>
            <w:shd w:fill="auto" w:val="clear"/>
            <w:vAlign w:val="center"/>
          </w:tcPr>
          <w:p>
            <w:pPr>
              <w:pStyle w:val="Normal"/>
              <w:rPr/>
            </w:pPr>
            <w:r>
              <w:rPr/>
              <w:t>Ny Carlsberg Glyptotek, Copenhagen</w:t>
            </w:r>
          </w:p>
        </w:tc>
        <w:tc>
          <w:tcPr>
            <w:tcW w:w="1289" w:type="dxa"/>
            <w:tcBorders/>
            <w:shd w:fill="auto" w:val="clear"/>
            <w:vAlign w:val="center"/>
          </w:tcPr>
          <w:p>
            <w:pPr>
              <w:pStyle w:val="Normal"/>
              <w:rPr/>
            </w:pPr>
            <w:r>
              <w:rPr/>
              <w:t>NCG 840</w:t>
            </w:r>
          </w:p>
        </w:tc>
      </w:tr>
      <w:tr>
        <w:trPr/>
        <w:tc>
          <w:tcPr>
            <w:tcW w:w="959" w:type="dxa"/>
            <w:tcBorders/>
            <w:shd w:fill="auto" w:val="clear"/>
            <w:vAlign w:val="center"/>
          </w:tcPr>
          <w:p>
            <w:pPr>
              <w:pStyle w:val="Normal"/>
              <w:rPr/>
            </w:pPr>
            <w:r>
              <w:rPr/>
              <w:t>P</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0.44m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clandestine excavations, Telloh 1924</w:t>
            </w:r>
          </w:p>
        </w:tc>
        <w:tc>
          <w:tcPr>
            <w:tcW w:w="1930" w:type="dxa"/>
            <w:tcBorders/>
            <w:shd w:fill="auto" w:val="clear"/>
            <w:vAlign w:val="center"/>
          </w:tcPr>
          <w:p>
            <w:pPr>
              <w:pStyle w:val="Normal"/>
              <w:rPr/>
            </w:pPr>
            <w:r>
              <w:rPr/>
              <w:t>Ningishzida</w:t>
            </w:r>
          </w:p>
        </w:tc>
        <w:tc>
          <w:tcPr>
            <w:tcW w:w="1635" w:type="dxa"/>
            <w:tcBorders/>
            <w:shd w:fill="auto" w:val="clear"/>
            <w:vAlign w:val="center"/>
          </w:tcPr>
          <w:p>
            <w:pPr>
              <w:pStyle w:val="Normal"/>
              <w:rPr/>
            </w:pPr>
            <w:r>
              <w:rPr/>
              <w:t>New York, Metropolitan Museum of Art</w:t>
            </w:r>
          </w:p>
        </w:tc>
        <w:tc>
          <w:tcPr>
            <w:tcW w:w="1289" w:type="dxa"/>
            <w:tcBorders/>
            <w:shd w:fill="auto" w:val="clear"/>
            <w:vAlign w:val="center"/>
          </w:tcPr>
          <w:p>
            <w:pPr>
              <w:pStyle w:val="Normal"/>
              <w:rPr/>
            </w:pPr>
            <w:r>
              <w:rPr/>
              <w:t>59.2</w:t>
            </w:r>
          </w:p>
        </w:tc>
      </w:tr>
      <w:tr>
        <w:trPr/>
        <w:tc>
          <w:tcPr>
            <w:tcW w:w="959" w:type="dxa"/>
            <w:tcBorders/>
            <w:shd w:fill="auto" w:val="clear"/>
            <w:vAlign w:val="center"/>
          </w:tcPr>
          <w:p>
            <w:pPr>
              <w:pStyle w:val="Normal"/>
              <w:rPr/>
            </w:pPr>
            <w:r>
              <w:rPr/>
              <w:t>Q</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0.33m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clandestine excavations, Telloh 1924</w:t>
            </w:r>
          </w:p>
        </w:tc>
        <w:tc>
          <w:tcPr>
            <w:tcW w:w="1930" w:type="dxa"/>
            <w:tcBorders/>
            <w:shd w:fill="auto" w:val="clear"/>
            <w:vAlign w:val="center"/>
          </w:tcPr>
          <w:p>
            <w:pPr>
              <w:pStyle w:val="Normal"/>
              <w:rPr/>
            </w:pPr>
            <w:r>
              <w:rPr/>
              <w:t>Ningishzida</w:t>
            </w:r>
          </w:p>
        </w:tc>
        <w:tc>
          <w:tcPr>
            <w:tcW w:w="1635" w:type="dxa"/>
            <w:tcBorders/>
            <w:shd w:fill="auto" w:val="clear"/>
            <w:vAlign w:val="center"/>
          </w:tcPr>
          <w:p>
            <w:pPr>
              <w:pStyle w:val="Normal"/>
              <w:rPr/>
            </w:pPr>
            <w:r>
              <w:rPr/>
              <w:t>body in Baghdad, head in Philadelphia</w:t>
            </w:r>
          </w:p>
        </w:tc>
        <w:tc>
          <w:tcPr>
            <w:tcW w:w="1289" w:type="dxa"/>
            <w:tcBorders/>
            <w:shd w:fill="auto" w:val="clear"/>
            <w:vAlign w:val="center"/>
          </w:tcPr>
          <w:p>
            <w:pPr>
              <w:pStyle w:val="Normal"/>
              <w:rPr/>
            </w:pPr>
            <w:r>
              <w:rPr/>
              <w:t>body: 2909, head: CBS 16664</w:t>
            </w:r>
          </w:p>
        </w:tc>
      </w:tr>
      <w:tr>
        <w:trPr/>
        <w:tc>
          <w:tcPr>
            <w:tcW w:w="959" w:type="dxa"/>
            <w:tcBorders/>
            <w:shd w:fill="auto" w:val="clear"/>
            <w:vAlign w:val="center"/>
          </w:tcPr>
          <w:p>
            <w:pPr>
              <w:pStyle w:val="Normal"/>
              <w:rPr/>
            </w:pPr>
            <w:r>
              <w:rPr/>
              <w:t>R</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0.185m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art trade</w:t>
            </w:r>
          </w:p>
        </w:tc>
        <w:tc>
          <w:tcPr>
            <w:tcW w:w="1930" w:type="dxa"/>
            <w:tcBorders/>
            <w:shd w:fill="auto" w:val="clear"/>
            <w:vAlign w:val="center"/>
          </w:tcPr>
          <w:p>
            <w:pPr>
              <w:pStyle w:val="Normal"/>
              <w:rPr/>
            </w:pPr>
            <w:r>
              <w:rPr/>
              <w:t>Namhani</w:t>
            </w:r>
          </w:p>
        </w:tc>
        <w:tc>
          <w:tcPr>
            <w:tcW w:w="1635" w:type="dxa"/>
            <w:tcBorders/>
            <w:shd w:fill="auto" w:val="clear"/>
            <w:vAlign w:val="center"/>
          </w:tcPr>
          <w:p>
            <w:pPr>
              <w:pStyle w:val="Normal"/>
              <w:rPr/>
            </w:pPr>
            <w:r>
              <w:rPr/>
              <w:t>Harvard Semitic Museum</w:t>
            </w:r>
          </w:p>
        </w:tc>
        <w:tc>
          <w:tcPr>
            <w:tcW w:w="1289" w:type="dxa"/>
            <w:tcBorders/>
            <w:shd w:fill="auto" w:val="clear"/>
            <w:vAlign w:val="center"/>
          </w:tcPr>
          <w:p>
            <w:pPr>
              <w:pStyle w:val="Normal"/>
              <w:rPr/>
            </w:pPr>
            <w:r>
              <w:rPr/>
              <w:t>HSM 8825</w:t>
            </w:r>
          </w:p>
        </w:tc>
      </w:tr>
      <w:tr>
        <w:trPr/>
        <w:tc>
          <w:tcPr>
            <w:tcW w:w="959" w:type="dxa"/>
            <w:tcBorders/>
            <w:shd w:fill="auto" w:val="clear"/>
            <w:vAlign w:val="center"/>
          </w:tcPr>
          <w:p>
            <w:pPr>
              <w:pStyle w:val="Normal"/>
              <w:rPr/>
            </w:pPr>
            <w:r>
              <w:rPr/>
              <w:t>S</w:t>
            </w:r>
          </w:p>
        </w:tc>
        <w:tc>
          <w:tcPr>
            <w:tcW w:w="1263" w:type="dxa"/>
            <w:tcBorders/>
            <w:shd w:fill="auto" w:val="clear"/>
            <w:vAlign w:val="center"/>
          </w:tcPr>
          <w:p>
            <w:pPr>
              <w:pStyle w:val="Normal"/>
              <w:rPr/>
            </w:pPr>
            <w:r>
              <w:rPr/>
              <w:t>limestone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Louvre</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T</w:t>
            </w:r>
          </w:p>
        </w:tc>
        <w:tc>
          <w:tcPr>
            <w:tcW w:w="1263" w:type="dxa"/>
            <w:tcBorders/>
            <w:shd w:fill="auto" w:val="clear"/>
            <w:vAlign w:val="center"/>
          </w:tcPr>
          <w:p>
            <w:pPr>
              <w:pStyle w:val="Normal"/>
              <w:rPr/>
            </w:pPr>
            <w:r>
              <w:rPr/>
              <w:t>--</w:t>
            </w:r>
          </w:p>
        </w:tc>
        <w:tc>
          <w:tcPr>
            <w:tcW w:w="817" w:type="dxa"/>
            <w:tcBorders/>
            <w:shd w:fill="auto" w:val="clear"/>
            <w:vAlign w:val="center"/>
          </w:tcPr>
          <w:p>
            <w:pPr>
              <w:pStyle w:val="Normal"/>
              <w:rPr/>
            </w:pPr>
            <w:r>
              <w:rPr/>
              <w:t>1.24m</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Golenishev collection</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U</w:t>
            </w:r>
          </w:p>
        </w:tc>
        <w:tc>
          <w:tcPr>
            <w:tcW w:w="1263" w:type="dxa"/>
            <w:tcBorders/>
            <w:shd w:fill="auto" w:val="clear"/>
            <w:vAlign w:val="center"/>
          </w:tcPr>
          <w:p>
            <w:pPr>
              <w:pStyle w:val="Normal"/>
              <w:rPr/>
            </w:pPr>
            <w:r>
              <w:rPr/>
              <w:t>dolerite</w:t>
            </w:r>
          </w:p>
        </w:tc>
        <w:tc>
          <w:tcPr>
            <w:tcW w:w="817" w:type="dxa"/>
            <w:tcBorders/>
            <w:shd w:fill="auto" w:val="clear"/>
            <w:vAlign w:val="center"/>
          </w:tcPr>
          <w:p>
            <w:pPr>
              <w:pStyle w:val="Normal"/>
              <w:rPr/>
            </w:pPr>
            <w:r>
              <w:rPr/>
              <w:t>0.71m</w:t>
            </w:r>
          </w:p>
        </w:tc>
        <w:tc>
          <w:tcPr>
            <w:tcW w:w="904" w:type="dxa"/>
            <w:tcBorders/>
            <w:shd w:fill="auto" w:val="clear"/>
            <w:vAlign w:val="center"/>
          </w:tcPr>
          <w:p>
            <w:pPr>
              <w:pStyle w:val="Normal"/>
              <w:rPr/>
            </w:pPr>
            <w:r>
              <w:rPr/>
              <w:t>sitting</w:t>
            </w:r>
          </w:p>
        </w:tc>
        <w:tc>
          <w:tcPr>
            <w:tcW w:w="1547" w:type="dxa"/>
            <w:tcBorders/>
            <w:shd w:fill="auto" w:val="clear"/>
            <w:vAlign w:val="center"/>
          </w:tcPr>
          <w:p>
            <w:pPr>
              <w:pStyle w:val="Normal"/>
              <w:rPr/>
            </w:pPr>
            <w:r>
              <w:rPr/>
              <w:t xml:space="preserve">Seleucia ad Tigrim near </w:t>
            </w:r>
            <w:hyperlink r:id="rId32">
              <w:r>
                <w:rPr>
                  <w:rStyle w:val="InternetLink"/>
                </w:rPr>
                <w:t>Seleucia</w:t>
              </w:r>
            </w:hyperlink>
          </w:p>
        </w:tc>
        <w:tc>
          <w:tcPr>
            <w:tcW w:w="1930" w:type="dxa"/>
            <w:tcBorders/>
            <w:shd w:fill="auto" w:val="clear"/>
            <w:vAlign w:val="center"/>
          </w:tcPr>
          <w:p>
            <w:pPr>
              <w:pStyle w:val="Normal"/>
              <w:rPr/>
            </w:pPr>
            <w:r>
              <w:rPr/>
              <w:t>Ninhursanga/Nintu</w:t>
            </w:r>
          </w:p>
        </w:tc>
        <w:tc>
          <w:tcPr>
            <w:tcW w:w="1635" w:type="dxa"/>
            <w:tcBorders/>
            <w:shd w:fill="auto" w:val="clear"/>
            <w:vAlign w:val="center"/>
          </w:tcPr>
          <w:p>
            <w:pPr>
              <w:pStyle w:val="Normal"/>
              <w:rPr/>
            </w:pPr>
            <w:r>
              <w:rPr/>
              <w:t>British Museum</w:t>
            </w:r>
            <w:r>
              <w:fldChar w:fldCharType="begin"/>
            </w:r>
            <w:r>
              <w:rPr>
                <w:rStyle w:val="InternetLink"/>
                <w:vertAlign w:val="superscript"/>
              </w:rPr>
              <w:instrText> HYPERLINK "https://en.wikipedia.org/wiki/Statues_of_Gudea"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tc>
        <w:tc>
          <w:tcPr>
            <w:tcW w:w="1289" w:type="dxa"/>
            <w:tcBorders/>
            <w:shd w:fill="auto" w:val="clear"/>
            <w:vAlign w:val="center"/>
          </w:tcPr>
          <w:p>
            <w:pPr>
              <w:pStyle w:val="Normal"/>
              <w:rPr/>
            </w:pPr>
            <w:r>
              <w:rPr/>
              <w:t>98065</w:t>
            </w:r>
          </w:p>
        </w:tc>
      </w:tr>
      <w:tr>
        <w:trPr/>
        <w:tc>
          <w:tcPr>
            <w:tcW w:w="959" w:type="dxa"/>
            <w:tcBorders/>
            <w:shd w:fill="auto" w:val="clear"/>
            <w:vAlign w:val="center"/>
          </w:tcPr>
          <w:p>
            <w:pPr>
              <w:pStyle w:val="Normal"/>
              <w:rPr/>
            </w:pPr>
            <w:r>
              <w:rPr/>
              <w:t>V</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0.78m</w:t>
            </w:r>
          </w:p>
        </w:tc>
        <w:tc>
          <w:tcPr>
            <w:tcW w:w="904" w:type="dxa"/>
            <w:tcBorders/>
            <w:shd w:fill="auto" w:val="clear"/>
            <w:vAlign w:val="center"/>
          </w:tcPr>
          <w:p>
            <w:pPr>
              <w:pStyle w:val="Normal"/>
              <w:rPr/>
            </w:pPr>
            <w:r>
              <w:rPr/>
              <w:t>standing</w:t>
            </w:r>
          </w:p>
        </w:tc>
        <w:tc>
          <w:tcPr>
            <w:tcW w:w="1547" w:type="dxa"/>
            <w:tcBorders/>
            <w:shd w:fill="auto" w:val="clear"/>
            <w:vAlign w:val="center"/>
          </w:tcPr>
          <w:p>
            <w:pPr>
              <w:pStyle w:val="Normal"/>
              <w:rPr/>
            </w:pPr>
            <w:r>
              <w:rPr/>
              <w:t>art trade</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British Museum</w:t>
            </w:r>
            <w:r>
              <w:fldChar w:fldCharType="begin"/>
            </w:r>
            <w:r>
              <w:rPr>
                <w:rStyle w:val="InternetLink"/>
                <w:vertAlign w:val="superscript"/>
              </w:rPr>
              <w:instrText> HYPERLINK "https://en.wikipedia.org/wiki/Statues_of_Gudea"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tc>
        <w:tc>
          <w:tcPr>
            <w:tcW w:w="1289" w:type="dxa"/>
            <w:tcBorders/>
            <w:shd w:fill="auto" w:val="clear"/>
            <w:vAlign w:val="center"/>
          </w:tcPr>
          <w:p>
            <w:pPr>
              <w:pStyle w:val="Normal"/>
              <w:rPr/>
            </w:pPr>
            <w:r>
              <w:rPr/>
              <w:t>122910</w:t>
            </w:r>
          </w:p>
        </w:tc>
      </w:tr>
      <w:tr>
        <w:trPr/>
        <w:tc>
          <w:tcPr>
            <w:tcW w:w="959" w:type="dxa"/>
            <w:tcBorders/>
            <w:shd w:fill="auto" w:val="clear"/>
            <w:vAlign w:val="center"/>
          </w:tcPr>
          <w:p>
            <w:pPr>
              <w:pStyle w:val="Normal"/>
              <w:rPr/>
            </w:pPr>
            <w:r>
              <w:rPr/>
              <w:t>W</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X</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Meslamta'ea</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Y</w:t>
            </w:r>
          </w:p>
        </w:tc>
        <w:tc>
          <w:tcPr>
            <w:tcW w:w="1263" w:type="dxa"/>
            <w:tcBorders/>
            <w:shd w:fill="auto" w:val="clear"/>
            <w:vAlign w:val="center"/>
          </w:tcPr>
          <w:p>
            <w:pPr>
              <w:pStyle w:val="Normal"/>
              <w:rPr/>
            </w:pPr>
            <w:r>
              <w:rPr/>
              <w:t>limestone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Ningirsu</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Z</w:t>
            </w:r>
          </w:p>
        </w:tc>
        <w:tc>
          <w:tcPr>
            <w:tcW w:w="1263" w:type="dxa"/>
            <w:tcBorders/>
            <w:shd w:fill="auto" w:val="clear"/>
            <w:vAlign w:val="center"/>
          </w:tcPr>
          <w:p>
            <w:pPr>
              <w:pStyle w:val="Normal"/>
              <w:rPr/>
            </w:pPr>
            <w:r>
              <w:rPr/>
              <w:t>diorite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r>
        <w:trPr/>
        <w:tc>
          <w:tcPr>
            <w:tcW w:w="959" w:type="dxa"/>
            <w:tcBorders/>
            <w:shd w:fill="auto" w:val="clear"/>
            <w:vAlign w:val="center"/>
          </w:tcPr>
          <w:p>
            <w:pPr>
              <w:pStyle w:val="Normal"/>
              <w:rPr/>
            </w:pPr>
            <w:r>
              <w:rPr/>
              <w:t>AA</w:t>
            </w:r>
          </w:p>
        </w:tc>
        <w:tc>
          <w:tcPr>
            <w:tcW w:w="1263" w:type="dxa"/>
            <w:tcBorders/>
            <w:shd w:fill="auto" w:val="clear"/>
            <w:vAlign w:val="center"/>
          </w:tcPr>
          <w:p>
            <w:pPr>
              <w:pStyle w:val="Normal"/>
              <w:rPr/>
            </w:pPr>
            <w:r>
              <w:rPr/>
              <w:t>limestone</w:t>
            </w:r>
          </w:p>
        </w:tc>
        <w:tc>
          <w:tcPr>
            <w:tcW w:w="817" w:type="dxa"/>
            <w:tcBorders/>
            <w:shd w:fill="auto" w:val="clear"/>
            <w:vAlign w:val="center"/>
          </w:tcPr>
          <w:p>
            <w:pPr>
              <w:pStyle w:val="Normal"/>
              <w:rPr/>
            </w:pPr>
            <w:r>
              <w:rPr/>
              <w:t>--</w:t>
            </w:r>
          </w:p>
        </w:tc>
        <w:tc>
          <w:tcPr>
            <w:tcW w:w="904" w:type="dxa"/>
            <w:tcBorders/>
            <w:shd w:fill="auto" w:val="clear"/>
            <w:vAlign w:val="center"/>
          </w:tcPr>
          <w:p>
            <w:pPr>
              <w:pStyle w:val="Normal"/>
              <w:rPr/>
            </w:pPr>
            <w:r>
              <w:rPr/>
              <w:t>--</w:t>
            </w:r>
          </w:p>
        </w:tc>
        <w:tc>
          <w:tcPr>
            <w:tcW w:w="1547" w:type="dxa"/>
            <w:tcBorders/>
            <w:shd w:fill="auto" w:val="clear"/>
            <w:vAlign w:val="center"/>
          </w:tcPr>
          <w:p>
            <w:pPr>
              <w:pStyle w:val="Normal"/>
              <w:rPr/>
            </w:pPr>
            <w:r>
              <w:rPr/>
              <w:t>--</w:t>
            </w:r>
          </w:p>
        </w:tc>
        <w:tc>
          <w:tcPr>
            <w:tcW w:w="1930" w:type="dxa"/>
            <w:tcBorders/>
            <w:shd w:fill="auto" w:val="clear"/>
            <w:vAlign w:val="center"/>
          </w:tcPr>
          <w:p>
            <w:pPr>
              <w:pStyle w:val="Normal"/>
              <w:rPr/>
            </w:pPr>
            <w:r>
              <w:rPr/>
              <w:t>--</w:t>
            </w:r>
          </w:p>
        </w:tc>
        <w:tc>
          <w:tcPr>
            <w:tcW w:w="1635" w:type="dxa"/>
            <w:tcBorders/>
            <w:shd w:fill="auto" w:val="clear"/>
            <w:vAlign w:val="center"/>
          </w:tcPr>
          <w:p>
            <w:pPr>
              <w:pStyle w:val="Normal"/>
              <w:rPr/>
            </w:pPr>
            <w:r>
              <w:rPr/>
              <w:t>--</w:t>
            </w:r>
          </w:p>
        </w:tc>
        <w:tc>
          <w:tcPr>
            <w:tcW w:w="1289" w:type="dxa"/>
            <w:tcBorders/>
            <w:shd w:fill="auto" w:val="clear"/>
            <w:vAlign w:val="center"/>
          </w:tcPr>
          <w:p>
            <w:pPr>
              <w:pStyle w:val="Normal"/>
              <w:rPr/>
            </w:pPr>
            <w:r>
              <w:rPr/>
              <w:t>--</w:t>
            </w:r>
          </w:p>
        </w:tc>
      </w:tr>
    </w:tbl>
    <w:p>
      <w:pPr>
        <w:pStyle w:val="Heading2"/>
        <w:rPr/>
      </w:pPr>
      <w:r>
        <w:rPr>
          <w:rStyle w:val="Mwheadline"/>
        </w:rPr>
        <w:t>Further reading</w:t>
      </w:r>
    </w:p>
    <w:p>
      <w:pPr>
        <w:pStyle w:val="Normal"/>
        <w:numPr>
          <w:ilvl w:val="0"/>
          <w:numId w:val="2"/>
        </w:numPr>
        <w:spacing w:before="0" w:after="0"/>
        <w:rPr/>
      </w:pPr>
      <w:r>
        <w:rPr/>
        <w:t xml:space="preserve">Dietz Otto Edzard, "Gudea and His Dynasty" </w:t>
      </w:r>
      <w:r>
        <w:rPr>
          <w:i/>
          <w:iCs/>
        </w:rPr>
        <w:t>Royal Inscriptions of Mesopotamia Early Periods - RIME 3/1</w:t>
      </w:r>
      <w:r>
        <w:rPr/>
        <w:t xml:space="preserve"> (Toronto University Press 1997).</w:t>
      </w:r>
    </w:p>
    <w:p>
      <w:pPr>
        <w:pStyle w:val="Normal"/>
        <w:numPr>
          <w:ilvl w:val="0"/>
          <w:numId w:val="2"/>
        </w:numPr>
        <w:spacing w:before="0" w:after="0"/>
        <w:rPr/>
      </w:pPr>
      <w:r>
        <w:rPr/>
        <w:t xml:space="preserve">F. Johansen, "Statues of Gudea, ancient and modern". </w:t>
      </w:r>
      <w:r>
        <w:rPr>
          <w:i/>
          <w:iCs/>
        </w:rPr>
        <w:t>Mesopotamia</w:t>
      </w:r>
      <w:r>
        <w:rPr/>
        <w:t xml:space="preserve"> 6, 1978.</w:t>
      </w:r>
    </w:p>
    <w:p>
      <w:pPr>
        <w:pStyle w:val="Normal"/>
        <w:numPr>
          <w:ilvl w:val="0"/>
          <w:numId w:val="2"/>
        </w:numPr>
        <w:spacing w:before="0" w:after="0"/>
        <w:rPr/>
      </w:pPr>
      <w:r>
        <w:rPr/>
        <w:t xml:space="preserve">A. Parrot, </w:t>
      </w:r>
      <w:r>
        <w:rPr>
          <w:i/>
          <w:iCs/>
        </w:rPr>
        <w:t>Tello, vingt campagnes des fouilles (1877-1933)</w:t>
      </w:r>
      <w:r>
        <w:rPr/>
        <w:t>. (Paris 1948).</w:t>
      </w:r>
    </w:p>
    <w:p>
      <w:pPr>
        <w:pStyle w:val="Normal"/>
        <w:numPr>
          <w:ilvl w:val="0"/>
          <w:numId w:val="2"/>
        </w:numPr>
        <w:spacing w:before="0" w:after="280"/>
        <w:rPr/>
      </w:pPr>
      <w:r>
        <w:rPr/>
        <w:t xml:space="preserve">H. Steible, "Versuch einer Chronologie der Statuen des Gudea von Lagas". </w:t>
      </w:r>
      <w:r>
        <w:rPr>
          <w:i/>
          <w:iCs/>
        </w:rPr>
        <w:t>Mitteilungen der Deutschen Orient-Gesellschaft</w:t>
      </w:r>
      <w:r>
        <w:rPr/>
        <w:t xml:space="preserve"> 126 (1994), 81-104.</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VisitedInternetLink">
    <w:name w:val="Visited Internet Link"/>
    <w:basedOn w:val="DefaultParagraphFont"/>
    <w:rPr>
      <w:color w:val="800080"/>
      <w:u w:val="single"/>
    </w:rPr>
  </w:style>
  <w:style w:type="character" w:styleId="InternetLink">
    <w:name w:val="Internet Link"/>
    <w:basedOn w:val="DefaultParagraphFont"/>
    <w:rPr>
      <w:color w:val="0000FF"/>
      <w:u w:val="single"/>
    </w:rPr>
  </w:style>
  <w:style w:type="character" w:styleId="Tocnumber">
    <w:name w:val="tocnumber"/>
    <w:basedOn w:val="DefaultParagraphFont"/>
    <w:qFormat/>
    <w:rPr/>
  </w:style>
  <w:style w:type="character" w:styleId="Toctext">
    <w:name w:val="toctext"/>
    <w:basedOn w:val="DefaultParagraphFont"/>
    <w:qFormat/>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udea" TargetMode="External"/><Relationship Id="rId3" Type="http://schemas.openxmlformats.org/officeDocument/2006/relationships/hyperlink" Target="https://en.wikipedia.org/wiki/Ens&#237;" TargetMode="External"/><Relationship Id="rId4" Type="http://schemas.openxmlformats.org/officeDocument/2006/relationships/hyperlink" Target="https://en.wikipedia.org/wiki/Lagash" TargetMode="External"/><Relationship Id="rId5" Type="http://schemas.openxmlformats.org/officeDocument/2006/relationships/hyperlink" Target="https://en.wikipedia.org/wiki/Mesopotamia" TargetMode="External"/><Relationship Id="rId6" Type="http://schemas.openxmlformats.org/officeDocument/2006/relationships/hyperlink" Target="https://en.wikipedia.org/wiki/Ernest_de_Sarzec" TargetMode="External"/><Relationship Id="rId7" Type="http://schemas.openxmlformats.org/officeDocument/2006/relationships/hyperlink" Target="https://en.wikipedia.org/w/index.php?title=Adad-nadin-ahhe&amp;action=edit&amp;redlink=1" TargetMode="External"/><Relationship Id="rId8" Type="http://schemas.openxmlformats.org/officeDocument/2006/relationships/hyperlink" Target="https://en.wikipedia.org/wiki/Girsu" TargetMode="External"/><Relationship Id="rId9" Type="http://schemas.openxmlformats.org/officeDocument/2006/relationships/hyperlink" Target="https://en.wikipedia.org/wiki/Authenticity_in_art" TargetMode="External"/><Relationship Id="rId10" Type="http://schemas.openxmlformats.org/officeDocument/2006/relationships/hyperlink" Target="https://en.wikipedia.org/wiki/Gudea" TargetMode="External"/><Relationship Id="rId11" Type="http://schemas.openxmlformats.org/officeDocument/2006/relationships/hyperlink" Target="https://en.wikipedia.org/wiki/Kaunakes" TargetMode="External"/><Relationship Id="rId12" Type="http://schemas.openxmlformats.org/officeDocument/2006/relationships/hyperlink" Target="https://en.wikipedia.org/wiki/Manishtushu" TargetMode="External"/><Relationship Id="rId13" Type="http://schemas.openxmlformats.org/officeDocument/2006/relationships/hyperlink" Target="https://en.wikipedia.org/wiki/Limestone" TargetMode="External"/><Relationship Id="rId14" Type="http://schemas.openxmlformats.org/officeDocument/2006/relationships/hyperlink" Target="https://en.wikipedia.org/wiki/Steatite" TargetMode="External"/><Relationship Id="rId15" Type="http://schemas.openxmlformats.org/officeDocument/2006/relationships/hyperlink" Target="https://en.wikipedia.org/wiki/Alabaster" TargetMode="External"/><Relationship Id="rId16" Type="http://schemas.openxmlformats.org/officeDocument/2006/relationships/hyperlink" Target="https://en.wikipedia.org/wiki/Diorite" TargetMode="External"/><Relationship Id="rId17" Type="http://schemas.openxmlformats.org/officeDocument/2006/relationships/hyperlink" Target="https://en.wikipedia.org/wiki/Entemena" TargetMode="External"/><Relationship Id="rId18" Type="http://schemas.openxmlformats.org/officeDocument/2006/relationships/hyperlink" Target="https://en.wikipedia.org/wiki/Gabbro" TargetMode="External"/><Relationship Id="rId19" Type="http://schemas.openxmlformats.org/officeDocument/2006/relationships/hyperlink" Target="https://en.wikipedia.org/wiki/Majan_(civilization)" TargetMode="External"/><Relationship Id="rId20" Type="http://schemas.openxmlformats.org/officeDocument/2006/relationships/hyperlink" Target="https://en.wikipedia.org/wiki/British_Museum" TargetMode="External"/><Relationship Id="rId21" Type="http://schemas.openxmlformats.org/officeDocument/2006/relationships/hyperlink" Target="https://en.wikipedia.org/wiki/Ens&#237;" TargetMode="External"/><Relationship Id="rId22" Type="http://schemas.openxmlformats.org/officeDocument/2006/relationships/hyperlink" Target="https://en.wikipedia.org/wiki/Lagash" TargetMode="External"/><Relationship Id="rId23" Type="http://schemas.openxmlformats.org/officeDocument/2006/relationships/hyperlink" Target="https://en.wikipedia.org/wiki/Ningirsu" TargetMode="External"/><Relationship Id="rId24" Type="http://schemas.openxmlformats.org/officeDocument/2006/relationships/hyperlink" Target="https://en.wikipedia.org/w/index.php?title=Ba&apos;u&amp;action=edit&amp;redlink=1" TargetMode="External"/><Relationship Id="rId25" Type="http://schemas.openxmlformats.org/officeDocument/2006/relationships/hyperlink" Target="https://en.wikipedia.org/w/index.php?title=Gatumdu&amp;action=edit&amp;redlink=1" TargetMode="External"/><Relationship Id="rId26" Type="http://schemas.openxmlformats.org/officeDocument/2006/relationships/hyperlink" Target="https://en.wikipedia.org/wiki/Inanna" TargetMode="External"/><Relationship Id="rId27" Type="http://schemas.openxmlformats.org/officeDocument/2006/relationships/hyperlink" Target="https://en.wikipedia.org/wiki/Ninhursanga" TargetMode="External"/><Relationship Id="rId28" Type="http://schemas.openxmlformats.org/officeDocument/2006/relationships/hyperlink" Target="https://en.wikipedia.org/wiki/Ningizzida" TargetMode="External"/><Relationship Id="rId29" Type="http://schemas.openxmlformats.org/officeDocument/2006/relationships/hyperlink" Target="https://en.wikipedia.org/w/index.php?title=Fara_(city)&amp;action=edit&amp;redlink=1" TargetMode="External"/><Relationship Id="rId30" Type="http://schemas.openxmlformats.org/officeDocument/2006/relationships/hyperlink" Target="https://en.wikipedia.org/wiki/Abu_Salabikh" TargetMode="External"/><Relationship Id="rId31" Type="http://schemas.openxmlformats.org/officeDocument/2006/relationships/hyperlink" Target="https://en.wikipedia.org/wiki/Gestinanna" TargetMode="External"/><Relationship Id="rId32" Type="http://schemas.openxmlformats.org/officeDocument/2006/relationships/hyperlink" Target="https://en.wikipedia.org/wiki/Seleucia"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2016-11-18T13:57:00Z</dcterms:created>
  <dc:creator>owner</dc:creator>
  <dc:description/>
  <dc:language>en-US</dc:language>
  <cp:lastModifiedBy>owner</cp:lastModifiedBy>
  <dcterms:modified xsi:type="dcterms:W3CDTF">2016-11-19T19:02:00Z</dcterms:modified>
  <cp:revision>1</cp:revision>
  <dc:subject/>
  <dc:title>Approximately twenty-seven statues of Gudea, a ruler (ensi) of the state of Lagash have been found in southern Mesopotamia</dc:title>
</cp:coreProperties>
</file>