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B30807" w:rsidRPr="00374871" w:rsidRDefault="00B30807" w:rsidP="00B30807"/>
    <w:p w:rsidR="00B30807" w:rsidRDefault="00374871" w:rsidP="00374871">
      <w:r w:rsidRPr="00374871">
        <w:t>A000-ME-Iran-Amlash-</w:t>
      </w:r>
      <w:r w:rsidR="00B30807" w:rsidRPr="00374871">
        <w:t xml:space="preserve">Ram </w:t>
      </w:r>
      <w:r w:rsidRPr="00374871">
        <w:t>R</w:t>
      </w:r>
      <w:r w:rsidR="00B30807" w:rsidRPr="00374871">
        <w:t>hyton</w:t>
      </w:r>
      <w:r w:rsidRPr="00374871">
        <w:t>- Ceramic-</w:t>
      </w:r>
      <w:r w:rsidR="00B30807" w:rsidRPr="00374871">
        <w:t xml:space="preserve"> </w:t>
      </w:r>
      <w:r w:rsidRPr="00374871">
        <w:t xml:space="preserve">9th – 8th c </w:t>
      </w:r>
      <w:r w:rsidR="00B30807" w:rsidRPr="00374871">
        <w:t xml:space="preserve">BCE </w:t>
      </w:r>
    </w:p>
    <w:p w:rsidR="00C2146E" w:rsidRPr="00374871" w:rsidRDefault="00C2146E" w:rsidP="00374871">
      <w:r>
        <w:rPr>
          <w:noProof/>
        </w:rPr>
        <w:drawing>
          <wp:inline distT="0" distB="0" distL="0" distR="0">
            <wp:extent cx="2376610" cy="3376295"/>
            <wp:effectExtent l="0" t="0" r="5080" b="0"/>
            <wp:docPr id="1" name="Picture 1" descr="https://i.ebayimg.com/images/g/byQAAOSw4PRaqYwT/s-l1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byQAAOSw4PRaqYwT/s-l16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484" cy="33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14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AA1A18" wp14:editId="703BBC7D">
            <wp:extent cx="2788873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2138" cy="33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07" w:rsidRDefault="00B30807" w:rsidP="00256C0C"/>
    <w:p w:rsidR="005920FD" w:rsidRDefault="005920FD" w:rsidP="005920FD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2</w:t>
      </w:r>
    </w:p>
    <w:p w:rsidR="005920FD" w:rsidRDefault="005920FD" w:rsidP="005920FD">
      <w:pPr>
        <w:rPr>
          <w:rStyle w:val="Strong"/>
        </w:rPr>
      </w:pPr>
      <w:r>
        <w:rPr>
          <w:rStyle w:val="Strong"/>
        </w:rPr>
        <w:t>Accession No.</w:t>
      </w:r>
      <w:r>
        <w:rPr>
          <w:rStyle w:val="Strong"/>
        </w:rPr>
        <w:t xml:space="preserve"> </w:t>
      </w:r>
    </w:p>
    <w:p w:rsidR="005920FD" w:rsidRDefault="005920FD" w:rsidP="005920FD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 w:rsidRPr="00374871">
        <w:t>Iran-</w:t>
      </w:r>
      <w:proofErr w:type="spellStart"/>
      <w:r w:rsidRPr="00374871">
        <w:t>Amlash</w:t>
      </w:r>
      <w:proofErr w:type="spellEnd"/>
      <w:r w:rsidRPr="00374871">
        <w:t>-Ram Rhyton- Ceramic- 9th – 8th c BCE</w:t>
      </w:r>
    </w:p>
    <w:p w:rsidR="005920FD" w:rsidRDefault="005920FD" w:rsidP="005920FD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5920FD" w:rsidRDefault="005920FD" w:rsidP="005920FD">
      <w:pPr>
        <w:rPr>
          <w:rStyle w:val="Strong"/>
        </w:rPr>
      </w:pPr>
      <w:r>
        <w:t xml:space="preserve">Large, </w:t>
      </w:r>
      <w:r w:rsidRPr="00B30807">
        <w:t xml:space="preserve">ovoid zoomorphic </w:t>
      </w:r>
      <w:r>
        <w:rPr>
          <w:rFonts w:eastAsia="Times New Roman"/>
          <w:color w:val="auto"/>
        </w:rPr>
        <w:t>rhyton</w:t>
      </w:r>
      <w:r w:rsidRPr="00B30807">
        <w:rPr>
          <w:rFonts w:eastAsia="Times New Roman"/>
          <w:color w:val="auto"/>
        </w:rPr>
        <w:t xml:space="preserve"> of red</w:t>
      </w:r>
      <w:r>
        <w:rPr>
          <w:rFonts w:eastAsia="Times New Roman"/>
          <w:color w:val="auto"/>
        </w:rPr>
        <w:t>-brow</w:t>
      </w:r>
      <w:bookmarkStart w:id="0" w:name="_GoBack"/>
      <w:bookmarkEnd w:id="0"/>
      <w:r>
        <w:rPr>
          <w:rFonts w:eastAsia="Times New Roman"/>
          <w:color w:val="auto"/>
        </w:rPr>
        <w:t>n</w:t>
      </w:r>
      <w:r w:rsidRPr="00B30807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burnished</w:t>
      </w:r>
      <w:r w:rsidRPr="00B30807">
        <w:rPr>
          <w:rFonts w:eastAsia="Times New Roman"/>
          <w:color w:val="auto"/>
        </w:rPr>
        <w:t xml:space="preserve"> ware from the </w:t>
      </w:r>
      <w:r w:rsidRPr="00374871">
        <w:t>9th – 8th c BCE</w:t>
      </w:r>
      <w:r w:rsidRPr="00B30807">
        <w:rPr>
          <w:rFonts w:eastAsia="Times New Roman"/>
          <w:color w:val="auto"/>
        </w:rPr>
        <w:t>. The corpulent rhyton stands on four stump legs</w:t>
      </w:r>
      <w:r w:rsidRPr="00B30807">
        <w:t xml:space="preserve"> </w:t>
      </w:r>
      <w:r>
        <w:t>with a central,</w:t>
      </w:r>
      <w:r w:rsidRPr="00B30807">
        <w:t xml:space="preserve"> long</w:t>
      </w:r>
      <w:r>
        <w:t>-</w:t>
      </w:r>
      <w:r w:rsidRPr="00B30807">
        <w:t xml:space="preserve">necked spout on </w:t>
      </w:r>
      <w:r>
        <w:t>its</w:t>
      </w:r>
      <w:r w:rsidRPr="00B30807">
        <w:t xml:space="preserve"> back and an applied, highly stylized he</w:t>
      </w:r>
      <w:r>
        <w:t xml:space="preserve">ad of a ram with curled spiral </w:t>
      </w:r>
      <w:r w:rsidRPr="00B30807">
        <w:t>horns</w:t>
      </w:r>
      <w:r>
        <w:t xml:space="preserve"> and an</w:t>
      </w:r>
      <w:r w:rsidRPr="00B30807">
        <w:t xml:space="preserve"> open mouth.</w:t>
      </w:r>
    </w:p>
    <w:p w:rsidR="005920FD" w:rsidRPr="00EB5DE2" w:rsidRDefault="005920FD" w:rsidP="005920FD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5920FD" w:rsidRPr="005920FD" w:rsidRDefault="005920FD" w:rsidP="005920FD">
      <w:pPr>
        <w:rPr>
          <w:b/>
          <w:bCs/>
        </w:rPr>
      </w:pPr>
      <w:r>
        <w:rPr>
          <w:rStyle w:val="Strong"/>
        </w:rPr>
        <w:t>Date or Time Horizon:</w:t>
      </w:r>
      <w:r>
        <w:t xml:space="preserve"> </w:t>
      </w:r>
      <w:r w:rsidRPr="00374871">
        <w:t>9th – 8th c BCE</w:t>
      </w:r>
    </w:p>
    <w:p w:rsidR="005920FD" w:rsidRDefault="005920FD" w:rsidP="005920FD">
      <w:r>
        <w:rPr>
          <w:rStyle w:val="Strong"/>
        </w:rPr>
        <w:t>Geographical Area:</w:t>
      </w:r>
      <w:r>
        <w:t xml:space="preserve"> </w:t>
      </w:r>
      <w:r w:rsidRPr="00374871">
        <w:t>Iran-</w:t>
      </w:r>
      <w:proofErr w:type="spellStart"/>
      <w:r w:rsidRPr="00374871">
        <w:t>Amlash</w:t>
      </w:r>
      <w:proofErr w:type="spellEnd"/>
    </w:p>
    <w:p w:rsidR="005920FD" w:rsidRDefault="005920FD" w:rsidP="005920FD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5920FD" w:rsidRPr="0011252F" w:rsidRDefault="005920FD" w:rsidP="005920FD">
      <w:pPr>
        <w:rPr>
          <w:b/>
        </w:rPr>
      </w:pPr>
      <w:r w:rsidRPr="0011252F">
        <w:rPr>
          <w:b/>
        </w:rPr>
        <w:t>GPS coordinates:</w:t>
      </w:r>
    </w:p>
    <w:p w:rsidR="005920FD" w:rsidRDefault="005920FD" w:rsidP="005920FD">
      <w:r>
        <w:rPr>
          <w:rStyle w:val="Strong"/>
        </w:rPr>
        <w:t>Cultural Affiliation:</w:t>
      </w:r>
      <w:r>
        <w:t xml:space="preserve"> </w:t>
      </w:r>
    </w:p>
    <w:p w:rsidR="005920FD" w:rsidRDefault="005920FD" w:rsidP="005920FD">
      <w:r>
        <w:rPr>
          <w:rStyle w:val="Strong"/>
        </w:rPr>
        <w:lastRenderedPageBreak/>
        <w:t>Media:</w:t>
      </w:r>
      <w:r>
        <w:t xml:space="preserve"> </w:t>
      </w:r>
    </w:p>
    <w:p w:rsidR="005920FD" w:rsidRDefault="005920FD" w:rsidP="005920FD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5920FD" w:rsidRDefault="005920FD" w:rsidP="005920FD">
      <w:pPr>
        <w:rPr>
          <w:rStyle w:val="Strong"/>
        </w:rPr>
      </w:pPr>
      <w:r>
        <w:rPr>
          <w:rStyle w:val="Strong"/>
        </w:rPr>
        <w:t xml:space="preserve">Weight:  </w:t>
      </w:r>
    </w:p>
    <w:p w:rsidR="005920FD" w:rsidRDefault="005920FD" w:rsidP="005920FD">
      <w:pPr>
        <w:rPr>
          <w:rStyle w:val="Strong"/>
        </w:rPr>
      </w:pPr>
      <w:r>
        <w:rPr>
          <w:rStyle w:val="Strong"/>
        </w:rPr>
        <w:t>Condition:</w:t>
      </w:r>
    </w:p>
    <w:p w:rsidR="005920FD" w:rsidRDefault="005920FD" w:rsidP="005920FD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5920FD" w:rsidRDefault="005920FD" w:rsidP="005920FD">
      <w:pPr>
        <w:rPr>
          <w:b/>
          <w:bCs/>
        </w:rPr>
      </w:pPr>
      <w:r>
        <w:rPr>
          <w:b/>
          <w:bCs/>
        </w:rPr>
        <w:t>Discussion:</w:t>
      </w:r>
    </w:p>
    <w:p w:rsidR="005920FD" w:rsidRDefault="005920FD" w:rsidP="005920FD">
      <w:r>
        <w:rPr>
          <w:b/>
          <w:bCs/>
        </w:rPr>
        <w:t>References:</w:t>
      </w:r>
    </w:p>
    <w:p w:rsidR="005920FD" w:rsidRDefault="005920FD" w:rsidP="005920FD"/>
    <w:p w:rsidR="005920FD" w:rsidRPr="00256C0C" w:rsidRDefault="005920FD" w:rsidP="00256C0C"/>
    <w:tbl>
      <w:tblPr>
        <w:tblW w:w="5000" w:type="pct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553"/>
        <w:gridCol w:w="7807"/>
      </w:tblGrid>
      <w:tr w:rsidR="00B30807" w:rsidRPr="00B30807" w:rsidTr="00B30807">
        <w:trPr>
          <w:tblCellSpacing w:w="0" w:type="dxa"/>
        </w:trPr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>Culture or Country:</w:t>
            </w:r>
          </w:p>
        </w:tc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>Iran. </w:t>
            </w:r>
          </w:p>
        </w:tc>
      </w:tr>
      <w:tr w:rsidR="00B30807" w:rsidRPr="00B30807" w:rsidTr="00B30807">
        <w:trPr>
          <w:tblCellSpacing w:w="0" w:type="dxa"/>
        </w:trPr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>Period:</w:t>
            </w:r>
          </w:p>
        </w:tc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 xml:space="preserve">1st millennium </w:t>
            </w:r>
            <w:r>
              <w:t>BCE</w:t>
            </w:r>
            <w:r w:rsidRPr="00B30807">
              <w:t> </w:t>
            </w:r>
          </w:p>
        </w:tc>
      </w:tr>
      <w:tr w:rsidR="00B30807" w:rsidRPr="00B30807" w:rsidTr="00B30807">
        <w:trPr>
          <w:tblCellSpacing w:w="0" w:type="dxa"/>
        </w:trPr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>Size:</w:t>
            </w:r>
          </w:p>
        </w:tc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>7-3/4”H. x 8-3/4”L. </w:t>
            </w:r>
          </w:p>
        </w:tc>
      </w:tr>
      <w:tr w:rsidR="00B30807" w:rsidRPr="00B30807" w:rsidTr="00B30807">
        <w:trPr>
          <w:tblCellSpacing w:w="0" w:type="dxa"/>
        </w:trPr>
        <w:tc>
          <w:tcPr>
            <w:tcW w:w="0" w:type="auto"/>
            <w:vAlign w:val="center"/>
            <w:hideMark/>
          </w:tcPr>
          <w:p w:rsidR="00B30807" w:rsidRPr="00B30807" w:rsidRDefault="00B30807" w:rsidP="00B30807"/>
        </w:tc>
        <w:tc>
          <w:tcPr>
            <w:tcW w:w="0" w:type="auto"/>
            <w:vAlign w:val="center"/>
            <w:hideMark/>
          </w:tcPr>
          <w:p w:rsidR="00B30807" w:rsidRPr="00B30807" w:rsidRDefault="00B30807" w:rsidP="00B30807"/>
        </w:tc>
      </w:tr>
      <w:tr w:rsidR="00B30807" w:rsidRPr="00B30807" w:rsidTr="00B30807">
        <w:trPr>
          <w:tblCellSpacing w:w="0" w:type="dxa"/>
        </w:trPr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>Description:</w:t>
            </w:r>
          </w:p>
        </w:tc>
        <w:tc>
          <w:tcPr>
            <w:tcW w:w="0" w:type="auto"/>
            <w:vAlign w:val="center"/>
            <w:hideMark/>
          </w:tcPr>
          <w:p w:rsidR="00B30807" w:rsidRPr="00B30807" w:rsidRDefault="00B30807" w:rsidP="00256C0C">
            <w:r w:rsidRPr="00B30807">
              <w:t>Scattered encrustation on the surface</w:t>
            </w:r>
            <w:r w:rsidR="00256C0C">
              <w:t xml:space="preserve"> attests to its ancient age</w:t>
            </w:r>
            <w:r w:rsidRPr="00B30807">
              <w:t xml:space="preserve">. </w:t>
            </w:r>
            <w:r w:rsidR="00256C0C">
              <w:t>It was r</w:t>
            </w:r>
            <w:r w:rsidRPr="00B30807">
              <w:t>epaired from original pieces with restoration over the break</w:t>
            </w:r>
            <w:r>
              <w:t>-</w:t>
            </w:r>
            <w:r w:rsidRPr="00B30807">
              <w:t>lines. </w:t>
            </w:r>
          </w:p>
        </w:tc>
      </w:tr>
      <w:tr w:rsidR="00B30807" w:rsidRPr="00B30807" w:rsidTr="00B30807">
        <w:trPr>
          <w:tblCellSpacing w:w="0" w:type="dxa"/>
        </w:trPr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>Provenance:</w:t>
            </w:r>
          </w:p>
        </w:tc>
        <w:tc>
          <w:tcPr>
            <w:tcW w:w="0" w:type="auto"/>
            <w:vAlign w:val="center"/>
            <w:hideMark/>
          </w:tcPr>
          <w:p w:rsidR="00B30807" w:rsidRPr="00B30807" w:rsidRDefault="00B30807" w:rsidP="00B30807">
            <w:r w:rsidRPr="00B30807">
              <w:t xml:space="preserve">Private NYC collection, acquired prior to 1970, to present owner by inheritance. Ex Arte </w:t>
            </w:r>
            <w:proofErr w:type="spellStart"/>
            <w:r w:rsidRPr="00B30807">
              <w:t>Primitivo</w:t>
            </w:r>
            <w:proofErr w:type="spellEnd"/>
            <w:r w:rsidRPr="00B30807">
              <w:t xml:space="preserve">. It comes with certificate of authenticity form Arte </w:t>
            </w:r>
            <w:proofErr w:type="spellStart"/>
            <w:r w:rsidRPr="00B30807">
              <w:t>Primitivo</w:t>
            </w:r>
            <w:proofErr w:type="spellEnd"/>
            <w:r w:rsidRPr="00B30807">
              <w:t>. </w:t>
            </w:r>
          </w:p>
        </w:tc>
      </w:tr>
    </w:tbl>
    <w:p w:rsidR="00005B29" w:rsidRPr="00005B29" w:rsidRDefault="00005B29" w:rsidP="00005B29">
      <w:pPr>
        <w:spacing w:after="0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> </w:t>
      </w:r>
    </w:p>
    <w:p w:rsidR="00841862" w:rsidRDefault="00841862" w:rsidP="00841862">
      <w:pPr>
        <w:spacing w:before="100" w:beforeAutospacing="1" w:after="100" w:afterAutospacing="1" w:line="240" w:lineRule="auto"/>
      </w:pPr>
      <w:r>
        <w:t>The term “</w:t>
      </w:r>
      <w:proofErr w:type="spellStart"/>
      <w:r>
        <w:t>Amlash</w:t>
      </w:r>
      <w:proofErr w:type="spellEnd"/>
      <w:r>
        <w:t>” or “</w:t>
      </w:r>
      <w:proofErr w:type="spellStart"/>
      <w:r>
        <w:t>Amlash</w:t>
      </w:r>
      <w:proofErr w:type="spellEnd"/>
      <w:r>
        <w:t xml:space="preserve"> culture” began to be used with Paris exhibition of 1961.</w:t>
      </w:r>
    </w:p>
    <w:p w:rsidR="00374871" w:rsidRDefault="00841862" w:rsidP="00005B29">
      <w:pPr>
        <w:spacing w:before="100" w:beforeAutospacing="1" w:after="100" w:afterAutospacing="1" w:line="240" w:lineRule="auto"/>
      </w:pPr>
      <w:r>
        <w:t xml:space="preserve">The term </w:t>
      </w:r>
      <w:r>
        <w:t>“</w:t>
      </w:r>
      <w:proofErr w:type="spellStart"/>
      <w:r>
        <w:t>Amlash</w:t>
      </w:r>
      <w:proofErr w:type="spellEnd"/>
      <w:r>
        <w:t xml:space="preserve">” </w:t>
      </w:r>
      <w:r>
        <w:t>(</w:t>
      </w:r>
      <w:proofErr w:type="spellStart"/>
      <w:r w:rsidR="00C7555F">
        <w:t>Amlaš</w:t>
      </w:r>
      <w:proofErr w:type="spellEnd"/>
      <w:r>
        <w:t>)</w:t>
      </w:r>
      <w:r w:rsidR="00374871">
        <w:t xml:space="preserve">, since 1959, </w:t>
      </w:r>
      <w:r w:rsidR="00C7555F">
        <w:t>derive</w:t>
      </w:r>
      <w:r>
        <w:t>s</w:t>
      </w:r>
      <w:r w:rsidR="00374871">
        <w:t xml:space="preserve"> from excavations </w:t>
      </w:r>
      <w:r w:rsidR="00C7555F">
        <w:t xml:space="preserve">of archeological artifacts dated to the 9th-8th centuries BCE </w:t>
      </w:r>
      <w:r w:rsidR="00374871">
        <w:t xml:space="preserve">in </w:t>
      </w:r>
      <w:r w:rsidR="00C7555F">
        <w:t xml:space="preserve">the </w:t>
      </w:r>
      <w:r w:rsidR="00374871">
        <w:t>Alborz range</w:t>
      </w:r>
      <w:r>
        <w:t xml:space="preserve"> </w:t>
      </w:r>
      <w:r w:rsidR="00C7555F">
        <w:t xml:space="preserve">valley </w:t>
      </w:r>
      <w:r>
        <w:t xml:space="preserve">in the vicinity of </w:t>
      </w:r>
      <w:proofErr w:type="spellStart"/>
      <w:r>
        <w:t>Amlash</w:t>
      </w:r>
      <w:proofErr w:type="spellEnd"/>
      <w:r>
        <w:t xml:space="preserve"> </w:t>
      </w:r>
      <w:r>
        <w:t xml:space="preserve">village in SE </w:t>
      </w:r>
      <w:proofErr w:type="spellStart"/>
      <w:r>
        <w:t>Gīlān</w:t>
      </w:r>
      <w:proofErr w:type="spellEnd"/>
      <w:r>
        <w:t>, Iran</w:t>
      </w:r>
      <w:r w:rsidR="00374871">
        <w:t xml:space="preserve">. </w:t>
      </w:r>
      <w:r w:rsidR="00C7555F">
        <w:t>The term was popularized by a 1961 Parisian exhibition.</w:t>
      </w:r>
      <w:r w:rsidR="00C7555F">
        <w:t xml:space="preserve"> </w:t>
      </w:r>
      <w:r w:rsidR="00374871">
        <w:t xml:space="preserve">Burnished </w:t>
      </w:r>
      <w:r w:rsidR="00C7555F">
        <w:t>red-brown</w:t>
      </w:r>
      <w:r w:rsidR="00374871">
        <w:t xml:space="preserve"> ceramic</w:t>
      </w:r>
      <w:r w:rsidR="00374871">
        <w:t xml:space="preserve"> animal effigy vases</w:t>
      </w:r>
      <w:r w:rsidR="00374871">
        <w:t xml:space="preserve"> </w:t>
      </w:r>
      <w:r>
        <w:t>like this one</w:t>
      </w:r>
      <w:r w:rsidR="00374871">
        <w:t xml:space="preserve"> </w:t>
      </w:r>
      <w:r w:rsidR="00374871">
        <w:t>appear</w:t>
      </w:r>
      <w:r w:rsidR="00374871">
        <w:t xml:space="preserve"> to form a </w:t>
      </w:r>
      <w:r w:rsidR="00374871">
        <w:t>continuous tradition</w:t>
      </w:r>
      <w:r w:rsidR="00C7555F">
        <w:t xml:space="preserve"> within these finds</w:t>
      </w:r>
      <w:r>
        <w:t xml:space="preserve">, however, the term </w:t>
      </w:r>
      <w:r w:rsidR="00C7555F">
        <w:t>“</w:t>
      </w:r>
      <w:r>
        <w:t>culture”</w:t>
      </w:r>
      <w:r w:rsidR="00C7555F">
        <w:t xml:space="preserve"> as applied to these finds</w:t>
      </w:r>
      <w:r>
        <w:t xml:space="preserve"> at this time is premature</w:t>
      </w:r>
      <w:r w:rsidR="00C7555F">
        <w:t xml:space="preserve"> and </w:t>
      </w:r>
      <w:r w:rsidR="00C7555F">
        <w:t>awaits furth</w:t>
      </w:r>
      <w:r w:rsidR="00C7555F">
        <w:t>er archaeological definition</w:t>
      </w:r>
      <w:r>
        <w:t>.</w:t>
      </w:r>
      <w:r w:rsidR="00374871">
        <w:t xml:space="preserve"> </w:t>
      </w:r>
    </w:p>
    <w:p w:rsidR="00C7555F" w:rsidRDefault="00841862" w:rsidP="00005B29">
      <w:pPr>
        <w:spacing w:before="100" w:beforeAutospacing="1" w:after="100" w:afterAutospacing="1" w:line="240" w:lineRule="auto"/>
      </w:pPr>
      <w:r>
        <w:t xml:space="preserve">The earliest discovery of </w:t>
      </w:r>
      <w:proofErr w:type="spellStart"/>
      <w:r>
        <w:t>Amla</w:t>
      </w:r>
      <w:r w:rsidR="00C7555F">
        <w:t>sh</w:t>
      </w:r>
      <w:proofErr w:type="spellEnd"/>
      <w:r>
        <w:t xml:space="preserve"> objects was made in the </w:t>
      </w:r>
      <w:proofErr w:type="spellStart"/>
      <w:r>
        <w:t>Kalār</w:t>
      </w:r>
      <w:proofErr w:type="spellEnd"/>
      <w:r>
        <w:t xml:space="preserve"> </w:t>
      </w:r>
      <w:proofErr w:type="spellStart"/>
      <w:r>
        <w:t>Dašt</w:t>
      </w:r>
      <w:proofErr w:type="spellEnd"/>
      <w:r>
        <w:t xml:space="preserve"> area of </w:t>
      </w:r>
      <w:proofErr w:type="spellStart"/>
      <w:r>
        <w:t>Māzandarān</w:t>
      </w:r>
      <w:proofErr w:type="spellEnd"/>
      <w:r>
        <w:t xml:space="preserve"> where bronze, gold, and pottery objects were found in 1934 (H. </w:t>
      </w:r>
      <w:proofErr w:type="spellStart"/>
      <w:r>
        <w:t>Samadi</w:t>
      </w:r>
      <w:proofErr w:type="spellEnd"/>
      <w:r>
        <w:t xml:space="preserve">, “Les </w:t>
      </w:r>
      <w:proofErr w:type="spellStart"/>
      <w:r>
        <w:t>découvertes</w:t>
      </w:r>
      <w:proofErr w:type="spellEnd"/>
      <w:r>
        <w:t xml:space="preserve"> </w:t>
      </w:r>
      <w:proofErr w:type="spellStart"/>
      <w:r>
        <w:t>fortuites</w:t>
      </w:r>
      <w:proofErr w:type="spellEnd"/>
      <w:r>
        <w:t xml:space="preserve"> de </w:t>
      </w:r>
      <w:proofErr w:type="spellStart"/>
      <w:r>
        <w:t>Kalar</w:t>
      </w:r>
      <w:proofErr w:type="spellEnd"/>
      <w:r>
        <w:t xml:space="preserve"> </w:t>
      </w:r>
      <w:proofErr w:type="spellStart"/>
      <w:r>
        <w:t>Dasht</w:t>
      </w:r>
      <w:proofErr w:type="spellEnd"/>
      <w:r>
        <w:t xml:space="preserve">, </w:t>
      </w:r>
      <w:proofErr w:type="spellStart"/>
      <w:r>
        <w:t>Garmabak</w:t>
      </w:r>
      <w:proofErr w:type="spellEnd"/>
      <w:r>
        <w:t xml:space="preserve">, </w:t>
      </w:r>
      <w:proofErr w:type="spellStart"/>
      <w:r>
        <w:t>Emam</w:t>
      </w:r>
      <w:proofErr w:type="spellEnd"/>
      <w:r>
        <w:t xml:space="preserve"> et </w:t>
      </w:r>
      <w:proofErr w:type="spellStart"/>
      <w:r>
        <w:t>Tomadjan</w:t>
      </w:r>
      <w:proofErr w:type="spellEnd"/>
      <w:r>
        <w:t xml:space="preserve"> (</w:t>
      </w:r>
      <w:proofErr w:type="spellStart"/>
      <w:r>
        <w:t>Mazanderan</w:t>
      </w:r>
      <w:proofErr w:type="spellEnd"/>
      <w:r>
        <w:t xml:space="preserve"> et </w:t>
      </w:r>
      <w:proofErr w:type="spellStart"/>
      <w:r>
        <w:t>Gilan</w:t>
      </w:r>
      <w:proofErr w:type="spellEnd"/>
      <w:r>
        <w:t xml:space="preserve">),” </w:t>
      </w:r>
      <w:r>
        <w:rPr>
          <w:rStyle w:val="Emphasis"/>
        </w:rPr>
        <w:t xml:space="preserve">Arts </w:t>
      </w:r>
      <w:proofErr w:type="spellStart"/>
      <w:r>
        <w:rPr>
          <w:rStyle w:val="Emphasis"/>
        </w:rPr>
        <w:t>Asiatiques</w:t>
      </w:r>
      <w:proofErr w:type="spellEnd"/>
      <w:r>
        <w:t xml:space="preserve"> 6, 1959, pp. 175ff.). Further finds were made near the villages of </w:t>
      </w:r>
      <w:proofErr w:type="spellStart"/>
      <w:r>
        <w:t>Tomaǰān</w:t>
      </w:r>
      <w:proofErr w:type="spellEnd"/>
      <w:r>
        <w:t xml:space="preserve">, </w:t>
      </w:r>
      <w:proofErr w:type="spellStart"/>
      <w:r>
        <w:t>Emām</w:t>
      </w:r>
      <w:proofErr w:type="spellEnd"/>
      <w:r>
        <w:t xml:space="preserve">, and </w:t>
      </w:r>
      <w:proofErr w:type="spellStart"/>
      <w:r>
        <w:t>Garmābak</w:t>
      </w:r>
      <w:proofErr w:type="spellEnd"/>
      <w:r>
        <w:t xml:space="preserve"> in 1954 (ibid.). Excavations </w:t>
      </w:r>
      <w:r>
        <w:t xml:space="preserve">of </w:t>
      </w:r>
      <w:r>
        <w:t>objects from rock-lined tombs</w:t>
      </w:r>
      <w:r>
        <w:t xml:space="preserve"> have been</w:t>
      </w:r>
      <w:r>
        <w:t xml:space="preserve"> carried out at </w:t>
      </w:r>
      <w:proofErr w:type="spellStart"/>
      <w:r>
        <w:t>Mārlīk</w:t>
      </w:r>
      <w:proofErr w:type="spellEnd"/>
      <w:r>
        <w:t xml:space="preserve"> (E. O. </w:t>
      </w:r>
      <w:proofErr w:type="spellStart"/>
      <w:r>
        <w:t>Negahban</w:t>
      </w:r>
      <w:proofErr w:type="spellEnd"/>
      <w:r>
        <w:t xml:space="preserve">, </w:t>
      </w:r>
      <w:r>
        <w:rPr>
          <w:rStyle w:val="Emphasis"/>
        </w:rPr>
        <w:t xml:space="preserve">A Preliminary Report on </w:t>
      </w:r>
      <w:proofErr w:type="spellStart"/>
      <w:r>
        <w:rPr>
          <w:rStyle w:val="Emphasis"/>
        </w:rPr>
        <w:t>Marlik</w:t>
      </w:r>
      <w:proofErr w:type="spellEnd"/>
      <w:r>
        <w:rPr>
          <w:rStyle w:val="Emphasis"/>
        </w:rPr>
        <w:t xml:space="preserve"> Excavation</w:t>
      </w:r>
      <w:r>
        <w:t xml:space="preserve">, Tehran, 1964), </w:t>
      </w:r>
      <w:proofErr w:type="spellStart"/>
      <w:r>
        <w:t>Kalūraz</w:t>
      </w:r>
      <w:proofErr w:type="spellEnd"/>
      <w:r>
        <w:t xml:space="preserve"> (A. </w:t>
      </w:r>
      <w:proofErr w:type="spellStart"/>
      <w:r>
        <w:t>Hakemi</w:t>
      </w:r>
      <w:proofErr w:type="spellEnd"/>
      <w:r>
        <w:t>, “</w:t>
      </w:r>
      <w:proofErr w:type="spellStart"/>
      <w:r>
        <w:t>Kaluraz</w:t>
      </w:r>
      <w:proofErr w:type="spellEnd"/>
      <w:r>
        <w:t xml:space="preserve"> and the Civilization of the </w:t>
      </w:r>
      <w:proofErr w:type="spellStart"/>
      <w:r>
        <w:t>Mardes</w:t>
      </w:r>
      <w:proofErr w:type="spellEnd"/>
      <w:r>
        <w:t xml:space="preserve">,” </w:t>
      </w:r>
      <w:proofErr w:type="spellStart"/>
      <w:r>
        <w:rPr>
          <w:rStyle w:val="Emphasis"/>
        </w:rPr>
        <w:t>Archaeologia</w:t>
      </w:r>
      <w:proofErr w:type="spellEnd"/>
      <w:r>
        <w:rPr>
          <w:rStyle w:val="Emphasis"/>
        </w:rPr>
        <w:t xml:space="preserve"> Viva</w:t>
      </w:r>
      <w:r>
        <w:t xml:space="preserve"> 1, 1968, pp. 63-65), and several </w:t>
      </w:r>
      <w:r>
        <w:lastRenderedPageBreak/>
        <w:t xml:space="preserve">sites in </w:t>
      </w:r>
      <w:proofErr w:type="spellStart"/>
      <w:r>
        <w:t>Daylamān</w:t>
      </w:r>
      <w:proofErr w:type="spellEnd"/>
      <w:r>
        <w:t xml:space="preserve"> (N. </w:t>
      </w:r>
      <w:proofErr w:type="spellStart"/>
      <w:r>
        <w:t>Egami</w:t>
      </w:r>
      <w:proofErr w:type="spellEnd"/>
      <w:r>
        <w:t xml:space="preserve"> et al., </w:t>
      </w:r>
      <w:proofErr w:type="spellStart"/>
      <w:r>
        <w:rPr>
          <w:rStyle w:val="Emphasis"/>
        </w:rPr>
        <w:t>Dailaman</w:t>
      </w:r>
      <w:proofErr w:type="spellEnd"/>
      <w:r>
        <w:t xml:space="preserve"> I-IV, Tokyo, Institute of Oriental Culture, University of Tokyo, 1965-71)</w:t>
      </w:r>
      <w:r>
        <w:t>.</w:t>
      </w:r>
      <w:r>
        <w:t xml:space="preserve"> </w:t>
      </w:r>
    </w:p>
    <w:p w:rsid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i/>
          <w:iCs/>
          <w:color w:val="auto"/>
        </w:rPr>
      </w:pPr>
      <w:r w:rsidRPr="00005B29">
        <w:rPr>
          <w:rFonts w:eastAsia="Times New Roman"/>
          <w:i/>
          <w:iCs/>
          <w:color w:val="auto"/>
        </w:rPr>
        <w:t>Bibliography:</w:t>
      </w:r>
    </w:p>
    <w:p w:rsidR="00C7555F" w:rsidRDefault="00C7555F" w:rsidP="00C7555F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000000"/>
          <w:sz w:val="21"/>
          <w:szCs w:val="21"/>
        </w:rPr>
      </w:pPr>
      <w:r>
        <w:rPr>
          <w:rFonts w:ascii="Georgia" w:hAnsi="Georgia"/>
          <w:color w:val="000000"/>
          <w:sz w:val="21"/>
          <w:szCs w:val="21"/>
        </w:rPr>
        <w:t xml:space="preserve">A. Parrot, “Acquisitions </w:t>
      </w:r>
      <w:proofErr w:type="gramStart"/>
      <w:r>
        <w:rPr>
          <w:rFonts w:ascii="Georgia" w:hAnsi="Georgia"/>
          <w:color w:val="000000"/>
          <w:sz w:val="21"/>
          <w:szCs w:val="21"/>
        </w:rPr>
        <w:t>et</w:t>
      </w:r>
      <w:proofErr w:type="gramEnd"/>
      <w:r>
        <w:rPr>
          <w:rFonts w:ascii="Georgia" w:hAnsi="Georgia"/>
          <w:color w:val="000000"/>
          <w:sz w:val="21"/>
          <w:szCs w:val="21"/>
        </w:rPr>
        <w:t xml:space="preserve"> </w:t>
      </w:r>
      <w:proofErr w:type="spellStart"/>
      <w:r>
        <w:rPr>
          <w:rFonts w:ascii="Georgia" w:hAnsi="Georgia"/>
          <w:color w:val="000000"/>
          <w:sz w:val="21"/>
          <w:szCs w:val="21"/>
        </w:rPr>
        <w:t>inédits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du </w:t>
      </w:r>
      <w:proofErr w:type="spellStart"/>
      <w:r>
        <w:rPr>
          <w:rFonts w:ascii="Georgia" w:hAnsi="Georgia"/>
          <w:color w:val="000000"/>
          <w:sz w:val="21"/>
          <w:szCs w:val="21"/>
        </w:rPr>
        <w:t>Musée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du Louvre, 13. </w:t>
      </w:r>
      <w:proofErr w:type="spellStart"/>
      <w:r>
        <w:rPr>
          <w:rFonts w:ascii="Georgia" w:hAnsi="Georgia"/>
          <w:color w:val="000000"/>
          <w:sz w:val="21"/>
          <w:szCs w:val="21"/>
        </w:rPr>
        <w:t>Animaux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et </w:t>
      </w:r>
      <w:proofErr w:type="spellStart"/>
      <w:r>
        <w:rPr>
          <w:rFonts w:ascii="Georgia" w:hAnsi="Georgia"/>
          <w:color w:val="000000"/>
          <w:sz w:val="21"/>
          <w:szCs w:val="21"/>
        </w:rPr>
        <w:t>ceramiques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</w:t>
      </w:r>
      <w:proofErr w:type="spellStart"/>
      <w:r>
        <w:rPr>
          <w:rFonts w:ascii="Georgia" w:hAnsi="Georgia"/>
          <w:color w:val="000000"/>
          <w:sz w:val="21"/>
          <w:szCs w:val="21"/>
        </w:rPr>
        <w:t>d’Amlash</w:t>
      </w:r>
      <w:proofErr w:type="spellEnd"/>
      <w:r>
        <w:rPr>
          <w:rFonts w:ascii="Georgia" w:hAnsi="Georgia"/>
          <w:color w:val="000000"/>
          <w:sz w:val="21"/>
          <w:szCs w:val="21"/>
        </w:rPr>
        <w:t>,” </w:t>
      </w:r>
      <w:r>
        <w:rPr>
          <w:rStyle w:val="Emphasis"/>
          <w:rFonts w:ascii="Georgia" w:hAnsi="Georgia"/>
          <w:color w:val="000000"/>
          <w:sz w:val="21"/>
          <w:szCs w:val="21"/>
        </w:rPr>
        <w:t>Syria</w:t>
      </w:r>
      <w:r>
        <w:rPr>
          <w:rFonts w:ascii="Georgia" w:hAnsi="Georgia"/>
          <w:color w:val="000000"/>
          <w:sz w:val="21"/>
          <w:szCs w:val="21"/>
        </w:rPr>
        <w:t> 40, 1963, pp. 236-41.</w:t>
      </w:r>
    </w:p>
    <w:p w:rsidR="00C7555F" w:rsidRDefault="00C7555F" w:rsidP="00C7555F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000000"/>
          <w:sz w:val="21"/>
          <w:szCs w:val="21"/>
        </w:rPr>
      </w:pPr>
      <w:r>
        <w:rPr>
          <w:rFonts w:ascii="Georgia" w:hAnsi="Georgia"/>
          <w:color w:val="000000"/>
          <w:sz w:val="21"/>
          <w:szCs w:val="21"/>
        </w:rPr>
        <w:t xml:space="preserve">R. </w:t>
      </w:r>
      <w:proofErr w:type="spellStart"/>
      <w:r>
        <w:rPr>
          <w:rFonts w:ascii="Georgia" w:hAnsi="Georgia"/>
          <w:color w:val="000000"/>
          <w:sz w:val="21"/>
          <w:szCs w:val="21"/>
        </w:rPr>
        <w:t>Ghirshman</w:t>
      </w:r>
      <w:proofErr w:type="spellEnd"/>
      <w:r>
        <w:rPr>
          <w:rFonts w:ascii="Georgia" w:hAnsi="Georgia"/>
          <w:color w:val="000000"/>
          <w:sz w:val="21"/>
          <w:szCs w:val="21"/>
        </w:rPr>
        <w:t>, </w:t>
      </w:r>
      <w:proofErr w:type="gramStart"/>
      <w:r>
        <w:rPr>
          <w:rStyle w:val="Emphasis"/>
          <w:rFonts w:ascii="Georgia" w:hAnsi="Georgia"/>
          <w:color w:val="000000"/>
          <w:sz w:val="21"/>
          <w:szCs w:val="21"/>
        </w:rPr>
        <w:t>The</w:t>
      </w:r>
      <w:proofErr w:type="gramEnd"/>
      <w:r>
        <w:rPr>
          <w:rStyle w:val="Emphasis"/>
          <w:rFonts w:ascii="Georgia" w:hAnsi="Georgia"/>
          <w:color w:val="000000"/>
          <w:sz w:val="21"/>
          <w:szCs w:val="21"/>
        </w:rPr>
        <w:t xml:space="preserve"> Arts of Ancient Iran</w:t>
      </w:r>
      <w:r>
        <w:rPr>
          <w:rFonts w:ascii="Georgia" w:hAnsi="Georgia"/>
          <w:color w:val="000000"/>
          <w:sz w:val="21"/>
          <w:szCs w:val="21"/>
        </w:rPr>
        <w:t>, New York, 1967, pp. 31-38.</w:t>
      </w:r>
    </w:p>
    <w:p w:rsidR="00C7555F" w:rsidRDefault="00C7555F" w:rsidP="00C7555F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000000"/>
          <w:sz w:val="21"/>
          <w:szCs w:val="21"/>
        </w:rPr>
      </w:pPr>
      <w:r>
        <w:rPr>
          <w:rFonts w:ascii="Georgia" w:hAnsi="Georgia"/>
          <w:color w:val="000000"/>
          <w:sz w:val="21"/>
          <w:szCs w:val="21"/>
        </w:rPr>
        <w:t xml:space="preserve">R. </w:t>
      </w:r>
      <w:proofErr w:type="spellStart"/>
      <w:r>
        <w:rPr>
          <w:rFonts w:ascii="Georgia" w:hAnsi="Georgia"/>
          <w:color w:val="000000"/>
          <w:sz w:val="21"/>
          <w:szCs w:val="21"/>
        </w:rPr>
        <w:t>Biscione</w:t>
      </w:r>
      <w:proofErr w:type="spellEnd"/>
      <w:r>
        <w:rPr>
          <w:rFonts w:ascii="Georgia" w:hAnsi="Georgia"/>
          <w:color w:val="000000"/>
          <w:sz w:val="21"/>
          <w:szCs w:val="21"/>
        </w:rPr>
        <w:t>, </w:t>
      </w:r>
      <w:proofErr w:type="spellStart"/>
      <w:r>
        <w:rPr>
          <w:rStyle w:val="Emphasis"/>
          <w:rFonts w:ascii="Georgia" w:hAnsi="Georgia"/>
          <w:color w:val="000000"/>
          <w:sz w:val="21"/>
          <w:szCs w:val="21"/>
        </w:rPr>
        <w:t>Ceramica</w:t>
      </w:r>
      <w:proofErr w:type="spellEnd"/>
      <w:r>
        <w:rPr>
          <w:rStyle w:val="Emphasis"/>
          <w:rFonts w:ascii="Georgia" w:hAnsi="Georgia"/>
          <w:color w:val="000000"/>
          <w:sz w:val="21"/>
          <w:szCs w:val="21"/>
        </w:rPr>
        <w:t xml:space="preserve"> di </w:t>
      </w:r>
      <w:proofErr w:type="spellStart"/>
      <w:r>
        <w:rPr>
          <w:rStyle w:val="Emphasis"/>
          <w:rFonts w:ascii="Georgia" w:hAnsi="Georgia"/>
          <w:color w:val="000000"/>
          <w:sz w:val="21"/>
          <w:szCs w:val="21"/>
        </w:rPr>
        <w:t>Amlash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, </w:t>
      </w:r>
      <w:proofErr w:type="spellStart"/>
      <w:r>
        <w:rPr>
          <w:rFonts w:ascii="Georgia" w:hAnsi="Georgia"/>
          <w:color w:val="000000"/>
          <w:sz w:val="21"/>
          <w:szCs w:val="21"/>
        </w:rPr>
        <w:t>Museo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</w:t>
      </w:r>
      <w:proofErr w:type="spellStart"/>
      <w:r>
        <w:rPr>
          <w:rFonts w:ascii="Georgia" w:hAnsi="Georgia"/>
          <w:color w:val="000000"/>
          <w:sz w:val="21"/>
          <w:szCs w:val="21"/>
        </w:rPr>
        <w:t>Nazionale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</w:t>
      </w:r>
      <w:proofErr w:type="spellStart"/>
      <w:r>
        <w:rPr>
          <w:rFonts w:ascii="Georgia" w:hAnsi="Georgia"/>
          <w:color w:val="000000"/>
          <w:sz w:val="21"/>
          <w:szCs w:val="21"/>
        </w:rPr>
        <w:t>d’Arte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Orientale, </w:t>
      </w:r>
      <w:proofErr w:type="spellStart"/>
      <w:r>
        <w:rPr>
          <w:rFonts w:ascii="Georgia" w:hAnsi="Georgia"/>
          <w:color w:val="000000"/>
          <w:sz w:val="21"/>
          <w:szCs w:val="21"/>
        </w:rPr>
        <w:t>Schede</w:t>
      </w:r>
      <w:proofErr w:type="spellEnd"/>
      <w:r>
        <w:rPr>
          <w:rFonts w:ascii="Georgia" w:hAnsi="Georgia"/>
          <w:color w:val="000000"/>
          <w:sz w:val="21"/>
          <w:szCs w:val="21"/>
        </w:rPr>
        <w:t xml:space="preserve"> 6, Rome, 1974.</w:t>
      </w:r>
    </w:p>
    <w:p w:rsidR="00C7555F" w:rsidRDefault="00C7555F" w:rsidP="00C7555F">
      <w:pPr>
        <w:pStyle w:val="NormalWeb"/>
        <w:shd w:val="clear" w:color="auto" w:fill="FFFFFF"/>
        <w:spacing w:before="0" w:beforeAutospacing="0" w:after="360" w:afterAutospacing="0"/>
        <w:rPr>
          <w:rFonts w:ascii="Georgia" w:hAnsi="Georgia"/>
          <w:color w:val="000000"/>
          <w:sz w:val="21"/>
          <w:szCs w:val="21"/>
        </w:rPr>
      </w:pPr>
      <w:proofErr w:type="spellStart"/>
      <w:r>
        <w:rPr>
          <w:rFonts w:ascii="Georgia" w:hAnsi="Georgia"/>
          <w:color w:val="000000"/>
          <w:sz w:val="21"/>
          <w:szCs w:val="21"/>
        </w:rPr>
        <w:t>Razmārā</w:t>
      </w:r>
      <w:proofErr w:type="spellEnd"/>
      <w:r>
        <w:rPr>
          <w:rFonts w:ascii="Georgia" w:hAnsi="Georgia"/>
          <w:color w:val="000000"/>
          <w:sz w:val="21"/>
          <w:szCs w:val="21"/>
        </w:rPr>
        <w:t>, </w:t>
      </w:r>
      <w:proofErr w:type="spellStart"/>
      <w:r>
        <w:rPr>
          <w:rStyle w:val="Emphasis"/>
          <w:rFonts w:ascii="Georgia" w:hAnsi="Georgia"/>
          <w:color w:val="000000"/>
          <w:sz w:val="21"/>
          <w:szCs w:val="21"/>
        </w:rPr>
        <w:t>Farhang</w:t>
      </w:r>
      <w:proofErr w:type="spellEnd"/>
      <w:r>
        <w:rPr>
          <w:rFonts w:ascii="Georgia" w:hAnsi="Georgia"/>
          <w:color w:val="000000"/>
          <w:sz w:val="21"/>
          <w:szCs w:val="21"/>
        </w:rPr>
        <w:t> II, p. 24.</w:t>
      </w:r>
    </w:p>
    <w:p w:rsidR="00C7555F" w:rsidRPr="00005B29" w:rsidRDefault="00C7555F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Sh. </w:t>
      </w:r>
      <w:proofErr w:type="spellStart"/>
      <w:r w:rsidRPr="00005B29">
        <w:rPr>
          <w:rFonts w:eastAsia="Times New Roman"/>
          <w:color w:val="auto"/>
        </w:rPr>
        <w:t>Ahkami</w:t>
      </w:r>
      <w:proofErr w:type="spellEnd"/>
      <w:r w:rsidRPr="00005B29">
        <w:rPr>
          <w:rFonts w:eastAsia="Times New Roman"/>
          <w:color w:val="auto"/>
        </w:rPr>
        <w:t xml:space="preserve">, “Interview with </w:t>
      </w:r>
      <w:proofErr w:type="spellStart"/>
      <w:r w:rsidRPr="00005B29">
        <w:rPr>
          <w:rFonts w:eastAsia="Times New Roman"/>
          <w:color w:val="auto"/>
        </w:rPr>
        <w:t>Ezatollah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Negahban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 xml:space="preserve">Persian Heritage </w:t>
      </w:r>
      <w:r w:rsidRPr="00005B29">
        <w:rPr>
          <w:rFonts w:eastAsia="Times New Roman"/>
          <w:color w:val="auto"/>
        </w:rPr>
        <w:t xml:space="preserve">29, </w:t>
      </w:r>
      <w:proofErr w:type="gramStart"/>
      <w:r w:rsidRPr="00005B29">
        <w:rPr>
          <w:rFonts w:eastAsia="Times New Roman"/>
          <w:color w:val="auto"/>
        </w:rPr>
        <w:t>Spring</w:t>
      </w:r>
      <w:proofErr w:type="gramEnd"/>
      <w:r w:rsidRPr="00005B29">
        <w:rPr>
          <w:rFonts w:eastAsia="Times New Roman"/>
          <w:color w:val="auto"/>
        </w:rPr>
        <w:t xml:space="preserve"> 2003, pp. 57-59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E. </w:t>
      </w:r>
      <w:proofErr w:type="spellStart"/>
      <w:r w:rsidRPr="00005B29">
        <w:rPr>
          <w:rFonts w:eastAsia="Times New Roman"/>
          <w:color w:val="auto"/>
        </w:rPr>
        <w:t>Akurgal</w:t>
      </w:r>
      <w:proofErr w:type="spellEnd"/>
      <w:r w:rsidRPr="00005B29">
        <w:rPr>
          <w:rFonts w:eastAsia="Times New Roman"/>
          <w:color w:val="auto"/>
        </w:rPr>
        <w:t xml:space="preserve">, </w:t>
      </w:r>
      <w:proofErr w:type="spellStart"/>
      <w:r w:rsidRPr="00005B29">
        <w:rPr>
          <w:rFonts w:eastAsia="Times New Roman"/>
          <w:i/>
          <w:iCs/>
          <w:color w:val="auto"/>
        </w:rPr>
        <w:t>Urartäische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und </w:t>
      </w:r>
      <w:proofErr w:type="spellStart"/>
      <w:r w:rsidRPr="00005B29">
        <w:rPr>
          <w:rFonts w:eastAsia="Times New Roman"/>
          <w:i/>
          <w:iCs/>
          <w:color w:val="auto"/>
        </w:rPr>
        <w:t>Altiranische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Kunztzentren</w:t>
      </w:r>
      <w:proofErr w:type="spellEnd"/>
      <w:r w:rsidRPr="00005B29">
        <w:rPr>
          <w:rFonts w:eastAsia="Times New Roman"/>
          <w:color w:val="auto"/>
        </w:rPr>
        <w:t>, Ankara, 1968.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P. </w:t>
      </w:r>
      <w:proofErr w:type="spellStart"/>
      <w:r w:rsidRPr="00005B29">
        <w:rPr>
          <w:rFonts w:eastAsia="Times New Roman"/>
          <w:color w:val="auto"/>
        </w:rPr>
        <w:t>Amiet</w:t>
      </w:r>
      <w:proofErr w:type="spellEnd"/>
      <w:r w:rsidRPr="00005B29">
        <w:rPr>
          <w:rFonts w:eastAsia="Times New Roman"/>
          <w:color w:val="auto"/>
        </w:rPr>
        <w:t>, “</w:t>
      </w:r>
      <w:proofErr w:type="spellStart"/>
      <w:r w:rsidRPr="00005B29">
        <w:rPr>
          <w:rFonts w:eastAsia="Times New Roman"/>
          <w:color w:val="auto"/>
        </w:rPr>
        <w:t>Autour</w:t>
      </w:r>
      <w:proofErr w:type="spellEnd"/>
      <w:r w:rsidRPr="00005B29">
        <w:rPr>
          <w:rFonts w:eastAsia="Times New Roman"/>
          <w:color w:val="auto"/>
        </w:rPr>
        <w:t xml:space="preserve"> de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in </w:t>
      </w:r>
      <w:proofErr w:type="spellStart"/>
      <w:r w:rsidRPr="00005B29">
        <w:rPr>
          <w:rFonts w:eastAsia="Times New Roman"/>
          <w:i/>
          <w:iCs/>
          <w:color w:val="auto"/>
        </w:rPr>
        <w:t>Archaeologia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Iranica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et </w:t>
      </w:r>
      <w:proofErr w:type="spellStart"/>
      <w:r w:rsidRPr="00005B29">
        <w:rPr>
          <w:rFonts w:eastAsia="Times New Roman"/>
          <w:i/>
          <w:iCs/>
          <w:color w:val="auto"/>
        </w:rPr>
        <w:t>Orientalis</w:t>
      </w:r>
      <w:proofErr w:type="spellEnd"/>
      <w:r w:rsidRPr="00005B29">
        <w:rPr>
          <w:rFonts w:eastAsia="Times New Roman"/>
          <w:i/>
          <w:iCs/>
          <w:color w:val="auto"/>
        </w:rPr>
        <w:t xml:space="preserve">: </w:t>
      </w:r>
      <w:proofErr w:type="spellStart"/>
      <w:r w:rsidRPr="00005B29">
        <w:rPr>
          <w:rFonts w:eastAsia="Times New Roman"/>
          <w:i/>
          <w:iCs/>
          <w:color w:val="auto"/>
        </w:rPr>
        <w:t>Miscellaenea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in </w:t>
      </w:r>
      <w:proofErr w:type="spellStart"/>
      <w:r w:rsidRPr="00005B29">
        <w:rPr>
          <w:rFonts w:eastAsia="Times New Roman"/>
          <w:i/>
          <w:iCs/>
          <w:color w:val="auto"/>
        </w:rPr>
        <w:t>honorem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Louis </w:t>
      </w:r>
      <w:proofErr w:type="spellStart"/>
      <w:r w:rsidRPr="00005B29">
        <w:rPr>
          <w:rFonts w:eastAsia="Times New Roman"/>
          <w:i/>
          <w:iCs/>
          <w:color w:val="auto"/>
        </w:rPr>
        <w:t>Vanden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Berghe</w:t>
      </w:r>
      <w:proofErr w:type="spellEnd"/>
      <w:r w:rsidRPr="00005B29">
        <w:rPr>
          <w:rFonts w:eastAsia="Times New Roman"/>
          <w:i/>
          <w:iCs/>
          <w:color w:val="auto"/>
        </w:rPr>
        <w:t>,</w:t>
      </w:r>
      <w:r w:rsidRPr="00005B29">
        <w:rPr>
          <w:rFonts w:eastAsia="Times New Roman"/>
          <w:color w:val="auto"/>
        </w:rPr>
        <w:t xml:space="preserve"> ed. L. De Meyer and E. </w:t>
      </w:r>
      <w:proofErr w:type="spellStart"/>
      <w:r w:rsidRPr="00005B29">
        <w:rPr>
          <w:rFonts w:eastAsia="Times New Roman"/>
          <w:color w:val="auto"/>
        </w:rPr>
        <w:t>Haerinck</w:t>
      </w:r>
      <w:proofErr w:type="spellEnd"/>
      <w:r w:rsidRPr="00005B29">
        <w:rPr>
          <w:rFonts w:eastAsia="Times New Roman"/>
          <w:color w:val="auto"/>
        </w:rPr>
        <w:t>, Ghent, 1989, pp. 311-22.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>Idem. “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et </w:t>
      </w:r>
      <w:proofErr w:type="spellStart"/>
      <w:r w:rsidRPr="00005B29">
        <w:rPr>
          <w:rFonts w:eastAsia="Times New Roman"/>
          <w:color w:val="auto"/>
        </w:rPr>
        <w:t>Chogha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Zanbil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 xml:space="preserve">Revue </w:t>
      </w:r>
      <w:proofErr w:type="spellStart"/>
      <w:r w:rsidRPr="00005B29">
        <w:rPr>
          <w:rFonts w:eastAsia="Times New Roman"/>
          <w:i/>
          <w:iCs/>
          <w:color w:val="auto"/>
        </w:rPr>
        <w:t>d’Assyriologie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gramStart"/>
      <w:r w:rsidRPr="00005B29">
        <w:rPr>
          <w:rFonts w:eastAsia="Times New Roman"/>
          <w:i/>
          <w:iCs/>
          <w:color w:val="auto"/>
        </w:rPr>
        <w:t>et</w:t>
      </w:r>
      <w:proofErr w:type="gram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d’archéologie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orientale</w:t>
      </w:r>
      <w:proofErr w:type="spellEnd"/>
      <w:r w:rsidRPr="00005B29">
        <w:rPr>
          <w:rFonts w:eastAsia="Times New Roman"/>
          <w:color w:val="auto"/>
        </w:rPr>
        <w:t xml:space="preserve"> 84/1, 1990, pp. 44-47.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P. </w:t>
      </w:r>
      <w:proofErr w:type="spellStart"/>
      <w:r w:rsidRPr="00005B29">
        <w:rPr>
          <w:rFonts w:eastAsia="Times New Roman"/>
          <w:color w:val="auto"/>
        </w:rPr>
        <w:t>Calmeyer</w:t>
      </w:r>
      <w:proofErr w:type="spellEnd"/>
      <w:r w:rsidRPr="00005B29">
        <w:rPr>
          <w:rFonts w:eastAsia="Times New Roman"/>
          <w:color w:val="auto"/>
        </w:rPr>
        <w:t>, “</w:t>
      </w:r>
      <w:proofErr w:type="spellStart"/>
      <w:r w:rsidRPr="00005B29">
        <w:rPr>
          <w:rFonts w:eastAsia="Times New Roman"/>
          <w:color w:val="auto"/>
        </w:rPr>
        <w:t>Mesopotamien</w:t>
      </w:r>
      <w:proofErr w:type="spellEnd"/>
      <w:r w:rsidRPr="00005B29">
        <w:rPr>
          <w:rFonts w:eastAsia="Times New Roman"/>
          <w:color w:val="auto"/>
        </w:rPr>
        <w:t xml:space="preserve"> und Iran </w:t>
      </w:r>
      <w:proofErr w:type="spellStart"/>
      <w:r w:rsidRPr="00005B29">
        <w:rPr>
          <w:rFonts w:eastAsia="Times New Roman"/>
          <w:color w:val="auto"/>
        </w:rPr>
        <w:t>im</w:t>
      </w:r>
      <w:proofErr w:type="spellEnd"/>
      <w:r w:rsidRPr="00005B29">
        <w:rPr>
          <w:rFonts w:eastAsia="Times New Roman"/>
          <w:color w:val="auto"/>
        </w:rPr>
        <w:t xml:space="preserve"> II. </w:t>
      </w:r>
      <w:proofErr w:type="gramStart"/>
      <w:r w:rsidRPr="00005B29">
        <w:rPr>
          <w:rFonts w:eastAsia="Times New Roman"/>
          <w:color w:val="auto"/>
        </w:rPr>
        <w:t>und</w:t>
      </w:r>
      <w:proofErr w:type="gramEnd"/>
      <w:r w:rsidRPr="00005B29">
        <w:rPr>
          <w:rFonts w:eastAsia="Times New Roman"/>
          <w:color w:val="auto"/>
        </w:rPr>
        <w:t xml:space="preserve"> I. </w:t>
      </w:r>
      <w:proofErr w:type="spellStart"/>
      <w:r w:rsidRPr="00005B29">
        <w:rPr>
          <w:rFonts w:eastAsia="Times New Roman"/>
          <w:color w:val="auto"/>
        </w:rPr>
        <w:t>Jahrtausend</w:t>
      </w:r>
      <w:proofErr w:type="spellEnd"/>
      <w:r w:rsidRPr="00005B29">
        <w:rPr>
          <w:rFonts w:eastAsia="Times New Roman"/>
          <w:color w:val="auto"/>
        </w:rPr>
        <w:t xml:space="preserve">,” in </w:t>
      </w:r>
      <w:proofErr w:type="spellStart"/>
      <w:r w:rsidRPr="00005B29">
        <w:rPr>
          <w:rFonts w:eastAsia="Times New Roman"/>
          <w:i/>
          <w:iCs/>
          <w:color w:val="auto"/>
        </w:rPr>
        <w:t>Mesopotamien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und seine </w:t>
      </w:r>
      <w:proofErr w:type="spellStart"/>
      <w:r w:rsidRPr="00005B29">
        <w:rPr>
          <w:rFonts w:eastAsia="Times New Roman"/>
          <w:i/>
          <w:iCs/>
          <w:color w:val="auto"/>
        </w:rPr>
        <w:t>Nachburn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, </w:t>
      </w:r>
      <w:r w:rsidRPr="00005B29">
        <w:rPr>
          <w:rFonts w:eastAsia="Times New Roman"/>
          <w:color w:val="auto"/>
        </w:rPr>
        <w:t xml:space="preserve">ed. H.-J. </w:t>
      </w:r>
      <w:proofErr w:type="spellStart"/>
      <w:r w:rsidRPr="00005B29">
        <w:rPr>
          <w:rFonts w:eastAsia="Times New Roman"/>
          <w:color w:val="auto"/>
        </w:rPr>
        <w:t>Nissen</w:t>
      </w:r>
      <w:proofErr w:type="spellEnd"/>
      <w:r w:rsidRPr="00005B29">
        <w:rPr>
          <w:rFonts w:eastAsia="Times New Roman"/>
          <w:color w:val="auto"/>
        </w:rPr>
        <w:t xml:space="preserve"> and J. </w:t>
      </w:r>
      <w:proofErr w:type="spellStart"/>
      <w:r w:rsidRPr="00005B29">
        <w:rPr>
          <w:rFonts w:eastAsia="Times New Roman"/>
          <w:color w:val="auto"/>
        </w:rPr>
        <w:t>Regner</w:t>
      </w:r>
      <w:proofErr w:type="spellEnd"/>
      <w:r w:rsidRPr="00005B29">
        <w:rPr>
          <w:rFonts w:eastAsia="Times New Roman"/>
          <w:color w:val="auto"/>
        </w:rPr>
        <w:t>, Berlin, 1982, pp. 339-48.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“Middle Babylonia Art and Contemporary Iran,” in </w:t>
      </w:r>
      <w:r w:rsidRPr="00005B29">
        <w:rPr>
          <w:rFonts w:eastAsia="Times New Roman"/>
          <w:i/>
          <w:iCs/>
          <w:color w:val="auto"/>
        </w:rPr>
        <w:t>Later Mesopotamia and Iran: Tribes and Empires 1600-539 BC</w:t>
      </w:r>
      <w:r w:rsidRPr="00005B29">
        <w:rPr>
          <w:rFonts w:eastAsia="Times New Roman"/>
          <w:color w:val="auto"/>
        </w:rPr>
        <w:t>, ed. J. Curtis, London, 1995, pp. 33-45.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I. M. </w:t>
      </w:r>
      <w:proofErr w:type="spellStart"/>
      <w:r w:rsidRPr="00005B29">
        <w:rPr>
          <w:rFonts w:eastAsia="Times New Roman"/>
          <w:color w:val="auto"/>
        </w:rPr>
        <w:t>Diakonoff</w:t>
      </w:r>
      <w:proofErr w:type="spellEnd"/>
      <w:r w:rsidRPr="00005B29">
        <w:rPr>
          <w:rFonts w:eastAsia="Times New Roman"/>
          <w:color w:val="auto"/>
        </w:rPr>
        <w:t xml:space="preserve">, “Media,” in </w:t>
      </w:r>
      <w:proofErr w:type="spellStart"/>
      <w:r w:rsidRPr="00005B29">
        <w:rPr>
          <w:rFonts w:eastAsia="Times New Roman"/>
          <w:i/>
          <w:iCs/>
          <w:color w:val="auto"/>
        </w:rPr>
        <w:t>Camb</w:t>
      </w:r>
      <w:proofErr w:type="spellEnd"/>
      <w:r w:rsidRPr="00005B29">
        <w:rPr>
          <w:rFonts w:eastAsia="Times New Roman"/>
          <w:i/>
          <w:iCs/>
          <w:color w:val="auto"/>
        </w:rPr>
        <w:t xml:space="preserve">. Hist. Iran </w:t>
      </w:r>
      <w:r w:rsidRPr="00005B29">
        <w:rPr>
          <w:rFonts w:eastAsia="Times New Roman"/>
          <w:color w:val="auto"/>
        </w:rPr>
        <w:t xml:space="preserve">II: </w:t>
      </w:r>
      <w:r w:rsidRPr="00005B29">
        <w:rPr>
          <w:rFonts w:eastAsia="Times New Roman"/>
          <w:i/>
          <w:iCs/>
          <w:color w:val="auto"/>
        </w:rPr>
        <w:t xml:space="preserve">The Median and </w:t>
      </w:r>
      <w:proofErr w:type="spellStart"/>
      <w:r w:rsidRPr="00005B29">
        <w:rPr>
          <w:rFonts w:eastAsia="Times New Roman"/>
          <w:i/>
          <w:iCs/>
          <w:color w:val="auto"/>
        </w:rPr>
        <w:t>Achaemenian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Periods</w:t>
      </w:r>
      <w:r w:rsidRPr="00005B29">
        <w:rPr>
          <w:rFonts w:eastAsia="Times New Roman"/>
          <w:color w:val="auto"/>
        </w:rPr>
        <w:t xml:space="preserve">, ed. I. </w:t>
      </w:r>
      <w:proofErr w:type="spellStart"/>
      <w:r w:rsidRPr="00005B29">
        <w:rPr>
          <w:rFonts w:eastAsia="Times New Roman"/>
          <w:color w:val="auto"/>
        </w:rPr>
        <w:t>Gershevitch</w:t>
      </w:r>
      <w:proofErr w:type="spellEnd"/>
      <w:r w:rsidRPr="00005B29">
        <w:rPr>
          <w:rFonts w:eastAsia="Times New Roman"/>
          <w:color w:val="auto"/>
        </w:rPr>
        <w:t>, Cambridge, 1985, pp. 36-148.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A. </w:t>
      </w:r>
      <w:proofErr w:type="spellStart"/>
      <w:r w:rsidRPr="00005B29">
        <w:rPr>
          <w:rFonts w:eastAsia="Times New Roman"/>
          <w:color w:val="auto"/>
        </w:rPr>
        <w:t>Hakemi</w:t>
      </w:r>
      <w:proofErr w:type="spellEnd"/>
      <w:r w:rsidRPr="00005B29">
        <w:rPr>
          <w:rFonts w:eastAsia="Times New Roman"/>
          <w:color w:val="auto"/>
        </w:rPr>
        <w:t>, “</w:t>
      </w:r>
      <w:proofErr w:type="spellStart"/>
      <w:r w:rsidRPr="00005B29">
        <w:rPr>
          <w:rFonts w:eastAsia="Times New Roman"/>
          <w:color w:val="auto"/>
        </w:rPr>
        <w:t>Kaluraz</w:t>
      </w:r>
      <w:proofErr w:type="spellEnd"/>
      <w:r w:rsidRPr="00005B29">
        <w:rPr>
          <w:rFonts w:eastAsia="Times New Roman"/>
          <w:color w:val="auto"/>
        </w:rPr>
        <w:t xml:space="preserve"> and the Civilization of the </w:t>
      </w:r>
      <w:proofErr w:type="spellStart"/>
      <w:r w:rsidRPr="00005B29">
        <w:rPr>
          <w:rFonts w:eastAsia="Times New Roman"/>
          <w:color w:val="auto"/>
        </w:rPr>
        <w:t>Mardes</w:t>
      </w:r>
      <w:proofErr w:type="spellEnd"/>
      <w:r w:rsidRPr="00005B29">
        <w:rPr>
          <w:rFonts w:eastAsia="Times New Roman"/>
          <w:color w:val="auto"/>
        </w:rPr>
        <w:t xml:space="preserve">,” </w:t>
      </w:r>
      <w:proofErr w:type="spellStart"/>
      <w:r w:rsidRPr="00005B29">
        <w:rPr>
          <w:rFonts w:eastAsia="Times New Roman"/>
          <w:i/>
          <w:iCs/>
          <w:color w:val="auto"/>
        </w:rPr>
        <w:t>Archaeologia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Viva </w:t>
      </w:r>
      <w:r w:rsidRPr="00005B29">
        <w:rPr>
          <w:rFonts w:eastAsia="Times New Roman"/>
          <w:color w:val="auto"/>
        </w:rPr>
        <w:t>1, 1968, pp. 63-65.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Ernie </w:t>
      </w:r>
      <w:proofErr w:type="spellStart"/>
      <w:r w:rsidRPr="00005B29">
        <w:rPr>
          <w:rFonts w:eastAsia="Times New Roman"/>
          <w:color w:val="auto"/>
        </w:rPr>
        <w:t>Haerinck</w:t>
      </w:r>
      <w:proofErr w:type="spellEnd"/>
      <w:r w:rsidRPr="00005B29">
        <w:rPr>
          <w:rFonts w:eastAsia="Times New Roman"/>
          <w:color w:val="auto"/>
        </w:rPr>
        <w:t xml:space="preserve">, “The Iron Age in </w:t>
      </w:r>
      <w:proofErr w:type="spellStart"/>
      <w:r w:rsidRPr="00005B29">
        <w:rPr>
          <w:rFonts w:eastAsia="Times New Roman"/>
          <w:color w:val="auto"/>
        </w:rPr>
        <w:t>Guilan</w:t>
      </w:r>
      <w:proofErr w:type="spellEnd"/>
      <w:r w:rsidRPr="00005B29">
        <w:rPr>
          <w:rFonts w:eastAsia="Times New Roman"/>
          <w:color w:val="auto"/>
        </w:rPr>
        <w:t xml:space="preserve">: proposal for a Chronology,” in </w:t>
      </w:r>
      <w:r w:rsidRPr="00005B29">
        <w:rPr>
          <w:rFonts w:eastAsia="Times New Roman"/>
          <w:i/>
          <w:iCs/>
          <w:color w:val="auto"/>
        </w:rPr>
        <w:t xml:space="preserve">Bronze-working </w:t>
      </w:r>
      <w:proofErr w:type="spellStart"/>
      <w:r w:rsidRPr="00005B29">
        <w:rPr>
          <w:rFonts w:eastAsia="Times New Roman"/>
          <w:i/>
          <w:iCs/>
          <w:color w:val="auto"/>
        </w:rPr>
        <w:t>Centres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of Western Asia, c. 1000-539 B.C.</w:t>
      </w:r>
      <w:r w:rsidRPr="00005B29">
        <w:rPr>
          <w:rFonts w:eastAsia="Times New Roman"/>
          <w:color w:val="auto"/>
        </w:rPr>
        <w:t>, ed. J. Curtis, London, 1998, pp. 63-78.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S. Jones, </w:t>
      </w:r>
      <w:proofErr w:type="gramStart"/>
      <w:r w:rsidRPr="00005B29">
        <w:rPr>
          <w:rFonts w:eastAsia="Times New Roman"/>
          <w:i/>
          <w:iCs/>
          <w:color w:val="auto"/>
        </w:rPr>
        <w:t>The</w:t>
      </w:r>
      <w:proofErr w:type="gramEnd"/>
      <w:r w:rsidRPr="00005B29">
        <w:rPr>
          <w:rFonts w:eastAsia="Times New Roman"/>
          <w:i/>
          <w:iCs/>
          <w:color w:val="auto"/>
        </w:rPr>
        <w:t xml:space="preserve"> Archaeology of Ethnicity: Constructing Identities in the Past and Present</w:t>
      </w:r>
      <w:r w:rsidRPr="00005B29">
        <w:rPr>
          <w:rFonts w:eastAsia="Times New Roman"/>
          <w:color w:val="auto"/>
        </w:rPr>
        <w:t>, London, 1997.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lastRenderedPageBreak/>
        <w:t xml:space="preserve">S. O. </w:t>
      </w:r>
      <w:proofErr w:type="spellStart"/>
      <w:r w:rsidRPr="00005B29">
        <w:rPr>
          <w:rFonts w:eastAsia="Times New Roman"/>
          <w:color w:val="auto"/>
        </w:rPr>
        <w:t>Kāmbaḵš-Fard</w:t>
      </w:r>
      <w:proofErr w:type="spellEnd"/>
      <w:r w:rsidRPr="00005B29">
        <w:rPr>
          <w:rFonts w:eastAsia="Times New Roman"/>
          <w:color w:val="auto"/>
        </w:rPr>
        <w:t xml:space="preserve">, “An Account of the Archaeological Investigations in the Eastern Foothills of </w:t>
      </w:r>
      <w:proofErr w:type="spellStart"/>
      <w:r w:rsidRPr="00005B29">
        <w:rPr>
          <w:rFonts w:eastAsia="Times New Roman"/>
          <w:color w:val="auto"/>
        </w:rPr>
        <w:t>Gilan</w:t>
      </w:r>
      <w:proofErr w:type="spellEnd"/>
      <w:r w:rsidRPr="00005B29">
        <w:rPr>
          <w:rFonts w:eastAsia="Times New Roman"/>
          <w:color w:val="auto"/>
        </w:rPr>
        <w:t xml:space="preserve">, Northern Iran,” </w:t>
      </w:r>
      <w:r w:rsidRPr="00005B29">
        <w:rPr>
          <w:rFonts w:eastAsia="Times New Roman"/>
          <w:i/>
          <w:iCs/>
          <w:color w:val="auto"/>
        </w:rPr>
        <w:t>Iranian Journal of Archaeology and History</w:t>
      </w:r>
      <w:r w:rsidRPr="00005B29">
        <w:rPr>
          <w:rFonts w:eastAsia="Times New Roman"/>
          <w:color w:val="auto"/>
        </w:rPr>
        <w:t xml:space="preserve"> 17, 1995, pp. 16-33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G. N. </w:t>
      </w:r>
      <w:proofErr w:type="spellStart"/>
      <w:r w:rsidRPr="00005B29">
        <w:rPr>
          <w:rFonts w:eastAsia="Times New Roman"/>
          <w:color w:val="auto"/>
        </w:rPr>
        <w:t>Kurochkin</w:t>
      </w:r>
      <w:proofErr w:type="spellEnd"/>
      <w:r w:rsidRPr="00005B29">
        <w:rPr>
          <w:rFonts w:eastAsia="Times New Roman"/>
          <w:color w:val="auto"/>
        </w:rPr>
        <w:t xml:space="preserve">, “Archaeological Search for the Near Eastern Aryans and the Royal Cemetery of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in Northern Iran,” in </w:t>
      </w:r>
      <w:r w:rsidRPr="00005B29">
        <w:rPr>
          <w:rFonts w:eastAsia="Times New Roman"/>
          <w:i/>
          <w:iCs/>
          <w:color w:val="auto"/>
        </w:rPr>
        <w:t>South Asian Archaeology 1993</w:t>
      </w:r>
      <w:r w:rsidRPr="00005B29">
        <w:rPr>
          <w:rFonts w:eastAsia="Times New Roman"/>
          <w:color w:val="auto"/>
        </w:rPr>
        <w:t xml:space="preserve">, ed. A. </w:t>
      </w:r>
      <w:proofErr w:type="spellStart"/>
      <w:r w:rsidRPr="00005B29">
        <w:rPr>
          <w:rFonts w:eastAsia="Times New Roman"/>
          <w:color w:val="auto"/>
        </w:rPr>
        <w:t>Parpola</w:t>
      </w:r>
      <w:proofErr w:type="spellEnd"/>
      <w:r w:rsidRPr="00005B29">
        <w:rPr>
          <w:rFonts w:eastAsia="Times New Roman"/>
          <w:color w:val="auto"/>
        </w:rPr>
        <w:t xml:space="preserve"> and P. </w:t>
      </w:r>
      <w:proofErr w:type="spellStart"/>
      <w:r w:rsidRPr="00005B29">
        <w:rPr>
          <w:rFonts w:eastAsia="Times New Roman"/>
          <w:color w:val="auto"/>
        </w:rPr>
        <w:t>Koskikallio</w:t>
      </w:r>
      <w:proofErr w:type="spellEnd"/>
      <w:r w:rsidRPr="00005B29">
        <w:rPr>
          <w:rFonts w:eastAsia="Times New Roman"/>
          <w:color w:val="auto"/>
        </w:rPr>
        <w:t>, vol. 1, Helsinki, 1994, pp. 389-95.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U. </w:t>
      </w:r>
      <w:proofErr w:type="spellStart"/>
      <w:r w:rsidRPr="00005B29">
        <w:rPr>
          <w:rFonts w:eastAsia="Times New Roman"/>
          <w:color w:val="auto"/>
        </w:rPr>
        <w:t>Löw</w:t>
      </w:r>
      <w:proofErr w:type="spellEnd"/>
      <w:r w:rsidRPr="00005B29">
        <w:rPr>
          <w:rFonts w:eastAsia="Times New Roman"/>
          <w:color w:val="auto"/>
        </w:rPr>
        <w:t>, “</w:t>
      </w:r>
      <w:proofErr w:type="spellStart"/>
      <w:r w:rsidRPr="00005B29">
        <w:rPr>
          <w:rFonts w:eastAsia="Times New Roman"/>
          <w:color w:val="auto"/>
        </w:rPr>
        <w:t>Kunsthandel</w:t>
      </w:r>
      <w:proofErr w:type="spellEnd"/>
      <w:r w:rsidRPr="00005B29">
        <w:rPr>
          <w:rFonts w:eastAsia="Times New Roman"/>
          <w:color w:val="auto"/>
        </w:rPr>
        <w:t xml:space="preserve"> und </w:t>
      </w:r>
      <w:proofErr w:type="spellStart"/>
      <w:r w:rsidRPr="00005B29">
        <w:rPr>
          <w:rFonts w:eastAsia="Times New Roman"/>
          <w:color w:val="auto"/>
        </w:rPr>
        <w:t>Fälschungsproblematik</w:t>
      </w:r>
      <w:proofErr w:type="spellEnd"/>
      <w:r w:rsidRPr="00005B29">
        <w:rPr>
          <w:rFonts w:eastAsia="Times New Roman"/>
          <w:color w:val="auto"/>
        </w:rPr>
        <w:t xml:space="preserve">,” </w:t>
      </w:r>
      <w:proofErr w:type="spellStart"/>
      <w:r w:rsidRPr="00005B29">
        <w:rPr>
          <w:rFonts w:eastAsia="Times New Roman"/>
          <w:i/>
          <w:iCs/>
          <w:color w:val="auto"/>
        </w:rPr>
        <w:t>Mitteilungen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des </w:t>
      </w:r>
      <w:proofErr w:type="spellStart"/>
      <w:r w:rsidRPr="00005B29">
        <w:rPr>
          <w:rFonts w:eastAsia="Times New Roman"/>
          <w:i/>
          <w:iCs/>
          <w:color w:val="auto"/>
        </w:rPr>
        <w:t>Deutschen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Archäologen-Verbandes</w:t>
      </w:r>
      <w:proofErr w:type="spellEnd"/>
      <w:r w:rsidRPr="00005B29">
        <w:rPr>
          <w:rFonts w:eastAsia="Times New Roman"/>
          <w:color w:val="auto"/>
        </w:rPr>
        <w:t xml:space="preserve"> 24/1, 1993, pp. 36-44.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Idem. “Der </w:t>
      </w:r>
      <w:proofErr w:type="spellStart"/>
      <w:r w:rsidRPr="00005B29">
        <w:rPr>
          <w:rFonts w:eastAsia="Times New Roman"/>
          <w:color w:val="auto"/>
        </w:rPr>
        <w:t>Freidhof</w:t>
      </w:r>
      <w:proofErr w:type="spellEnd"/>
      <w:r w:rsidRPr="00005B29">
        <w:rPr>
          <w:rFonts w:eastAsia="Times New Roman"/>
          <w:color w:val="auto"/>
        </w:rPr>
        <w:t xml:space="preserve"> von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>—</w:t>
      </w:r>
      <w:proofErr w:type="spellStart"/>
      <w:r w:rsidRPr="00005B29">
        <w:rPr>
          <w:rFonts w:eastAsia="Times New Roman"/>
          <w:color w:val="auto"/>
        </w:rPr>
        <w:t>Ein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Datierungsvorschlag</w:t>
      </w:r>
      <w:proofErr w:type="spellEnd"/>
      <w:r w:rsidRPr="00005B29">
        <w:rPr>
          <w:rFonts w:eastAsia="Times New Roman"/>
          <w:color w:val="auto"/>
        </w:rPr>
        <w:t xml:space="preserve"> (I),” </w:t>
      </w:r>
      <w:r w:rsidRPr="00005B29">
        <w:rPr>
          <w:rFonts w:eastAsia="Times New Roman"/>
          <w:i/>
          <w:iCs/>
          <w:color w:val="auto"/>
        </w:rPr>
        <w:t>AMI</w:t>
      </w:r>
      <w:r w:rsidRPr="00005B29">
        <w:rPr>
          <w:rFonts w:eastAsia="Times New Roman"/>
          <w:color w:val="auto"/>
        </w:rPr>
        <w:t xml:space="preserve"> 28, 1995/1996, pp. 119-61.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proofErr w:type="spellStart"/>
      <w:r w:rsidRPr="00005B29">
        <w:rPr>
          <w:rFonts w:eastAsia="Times New Roman"/>
          <w:i/>
          <w:iCs/>
          <w:color w:val="auto"/>
        </w:rPr>
        <w:t>Figürlich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verzierte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Metallgefässe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aus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Nord und </w:t>
      </w:r>
      <w:proofErr w:type="spellStart"/>
      <w:r w:rsidRPr="00005B29">
        <w:rPr>
          <w:rFonts w:eastAsia="Times New Roman"/>
          <w:i/>
          <w:iCs/>
          <w:color w:val="auto"/>
        </w:rPr>
        <w:t>Nordwestiran</w:t>
      </w:r>
      <w:proofErr w:type="spellEnd"/>
      <w:r w:rsidRPr="00005B29">
        <w:rPr>
          <w:rFonts w:eastAsia="Times New Roman"/>
          <w:color w:val="auto"/>
        </w:rPr>
        <w:t xml:space="preserve">, </w:t>
      </w:r>
      <w:proofErr w:type="spellStart"/>
      <w:r w:rsidRPr="00005B29">
        <w:rPr>
          <w:rFonts w:eastAsia="Times New Roman"/>
          <w:color w:val="auto"/>
        </w:rPr>
        <w:t>Münster</w:t>
      </w:r>
      <w:proofErr w:type="spellEnd"/>
      <w:r w:rsidRPr="00005B29">
        <w:rPr>
          <w:rFonts w:eastAsia="Times New Roman"/>
          <w:color w:val="auto"/>
        </w:rPr>
        <w:t>, 1998.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M. </w:t>
      </w:r>
      <w:proofErr w:type="spellStart"/>
      <w:r w:rsidRPr="00005B29">
        <w:rPr>
          <w:rFonts w:eastAsia="Times New Roman"/>
          <w:color w:val="auto"/>
        </w:rPr>
        <w:t>Malekzāda</w:t>
      </w:r>
      <w:proofErr w:type="spellEnd"/>
      <w:r w:rsidRPr="00005B29">
        <w:rPr>
          <w:rFonts w:eastAsia="Times New Roman"/>
          <w:color w:val="auto"/>
        </w:rPr>
        <w:t>, “</w:t>
      </w:r>
      <w:proofErr w:type="spellStart"/>
      <w:r w:rsidRPr="00005B29">
        <w:rPr>
          <w:rFonts w:eastAsia="Times New Roman"/>
          <w:color w:val="auto"/>
        </w:rPr>
        <w:t>Andia</w:t>
      </w:r>
      <w:proofErr w:type="spellEnd"/>
      <w:r w:rsidRPr="00005B29">
        <w:rPr>
          <w:rFonts w:eastAsia="Times New Roman"/>
          <w:color w:val="auto"/>
        </w:rPr>
        <w:t xml:space="preserve">: A Petty Kingdom in Grand Media and </w:t>
      </w:r>
      <w:proofErr w:type="spellStart"/>
      <w:r w:rsidRPr="00005B29">
        <w:rPr>
          <w:rFonts w:eastAsia="Times New Roman"/>
          <w:color w:val="auto"/>
        </w:rPr>
        <w:t>Metalworks</w:t>
      </w:r>
      <w:proofErr w:type="spellEnd"/>
      <w:r w:rsidRPr="00005B29">
        <w:rPr>
          <w:rFonts w:eastAsia="Times New Roman"/>
          <w:color w:val="auto"/>
        </w:rPr>
        <w:t xml:space="preserve"> of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>Iranian Journal of Archaeology and History</w:t>
      </w:r>
      <w:r w:rsidRPr="00005B29">
        <w:rPr>
          <w:rFonts w:eastAsia="Times New Roman"/>
          <w:color w:val="auto"/>
        </w:rPr>
        <w:t xml:space="preserve"> 16, 1994, pp. 12-18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M. </w:t>
      </w:r>
      <w:proofErr w:type="spellStart"/>
      <w:r w:rsidRPr="00005B29">
        <w:rPr>
          <w:rFonts w:eastAsia="Times New Roman"/>
          <w:color w:val="auto"/>
        </w:rPr>
        <w:t>Moghadam</w:t>
      </w:r>
      <w:proofErr w:type="spellEnd"/>
      <w:r w:rsidRPr="00005B29">
        <w:rPr>
          <w:rFonts w:eastAsia="Times New Roman"/>
          <w:color w:val="auto"/>
        </w:rPr>
        <w:t>, “</w:t>
      </w:r>
      <w:proofErr w:type="spellStart"/>
      <w:r w:rsidRPr="00005B29">
        <w:rPr>
          <w:rFonts w:eastAsia="Times New Roman"/>
          <w:color w:val="auto"/>
        </w:rPr>
        <w:t>Dailaman</w:t>
      </w:r>
      <w:proofErr w:type="spellEnd"/>
      <w:r w:rsidRPr="00005B29">
        <w:rPr>
          <w:rFonts w:eastAsia="Times New Roman"/>
          <w:color w:val="auto"/>
        </w:rPr>
        <w:t xml:space="preserve">: An Archaeological Survey,” in </w:t>
      </w:r>
      <w:r w:rsidRPr="00005B29">
        <w:rPr>
          <w:rFonts w:eastAsia="Times New Roman"/>
          <w:i/>
          <w:iCs/>
          <w:color w:val="auto"/>
        </w:rPr>
        <w:t>A Survey of Persian Art</w:t>
      </w:r>
      <w:r w:rsidRPr="00005B29">
        <w:rPr>
          <w:rFonts w:eastAsia="Times New Roman"/>
          <w:color w:val="auto"/>
        </w:rPr>
        <w:t>, vol. 17:</w:t>
      </w:r>
      <w:r w:rsidRPr="00005B29">
        <w:rPr>
          <w:rFonts w:eastAsia="Times New Roman"/>
          <w:i/>
          <w:iCs/>
          <w:color w:val="auto"/>
        </w:rPr>
        <w:t xml:space="preserve"> From Prehistoric Times to the End of the Sasanian Empire</w:t>
      </w:r>
      <w:r w:rsidRPr="00005B29">
        <w:rPr>
          <w:rFonts w:eastAsia="Times New Roman"/>
          <w:color w:val="auto"/>
        </w:rPr>
        <w:t xml:space="preserve">, ed. A. </w:t>
      </w:r>
      <w:proofErr w:type="spellStart"/>
      <w:r w:rsidRPr="00005B29">
        <w:rPr>
          <w:rFonts w:eastAsia="Times New Roman"/>
          <w:color w:val="auto"/>
        </w:rPr>
        <w:t>Daneshvari</w:t>
      </w:r>
      <w:proofErr w:type="spellEnd"/>
      <w:r w:rsidRPr="00005B29">
        <w:rPr>
          <w:rFonts w:eastAsia="Times New Roman"/>
          <w:color w:val="auto"/>
        </w:rPr>
        <w:t xml:space="preserve"> and J. Gluck, Costa Mesa, Calif., 2005, pp. 103-8.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O. W. </w:t>
      </w:r>
      <w:proofErr w:type="spellStart"/>
      <w:r w:rsidRPr="00005B29">
        <w:rPr>
          <w:rFonts w:eastAsia="Times New Roman"/>
          <w:color w:val="auto"/>
        </w:rPr>
        <w:t>Muscarella</w:t>
      </w:r>
      <w:proofErr w:type="spellEnd"/>
      <w:r w:rsidRPr="00005B29">
        <w:rPr>
          <w:rFonts w:eastAsia="Times New Roman"/>
          <w:color w:val="auto"/>
        </w:rPr>
        <w:t xml:space="preserve">, “Fibula and Chronology,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and Assur,” </w:t>
      </w:r>
      <w:r w:rsidRPr="00005B29">
        <w:rPr>
          <w:rFonts w:eastAsia="Times New Roman"/>
          <w:i/>
          <w:iCs/>
          <w:color w:val="auto"/>
        </w:rPr>
        <w:t xml:space="preserve">Journal of Field Archaeology </w:t>
      </w:r>
      <w:r w:rsidRPr="00005B29">
        <w:rPr>
          <w:rFonts w:eastAsia="Times New Roman"/>
          <w:color w:val="auto"/>
        </w:rPr>
        <w:t>11/4, 1984, pp. 413-19.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r w:rsidRPr="00005B29">
        <w:rPr>
          <w:rFonts w:eastAsia="Times New Roman"/>
          <w:i/>
          <w:iCs/>
          <w:color w:val="auto"/>
        </w:rPr>
        <w:t>The Lie Became Great: The Forgery of Ancient Near Eastern Cultures</w:t>
      </w:r>
      <w:r w:rsidRPr="00005B29">
        <w:rPr>
          <w:rFonts w:eastAsia="Times New Roman"/>
          <w:color w:val="auto"/>
        </w:rPr>
        <w:t>, Groningen, 2000a.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Review of </w:t>
      </w:r>
      <w:proofErr w:type="spellStart"/>
      <w:r w:rsidRPr="00005B29">
        <w:rPr>
          <w:rFonts w:eastAsia="Times New Roman"/>
          <w:color w:val="auto"/>
        </w:rPr>
        <w:t>Löw</w:t>
      </w:r>
      <w:proofErr w:type="spellEnd"/>
      <w:r w:rsidRPr="00005B29">
        <w:rPr>
          <w:rFonts w:eastAsia="Times New Roman"/>
          <w:color w:val="auto"/>
        </w:rPr>
        <w:t xml:space="preserve">, 1998 in </w:t>
      </w:r>
      <w:r w:rsidRPr="00005B29">
        <w:rPr>
          <w:rFonts w:eastAsia="Times New Roman"/>
          <w:i/>
          <w:iCs/>
          <w:color w:val="auto"/>
        </w:rPr>
        <w:t xml:space="preserve">Bibliotheca </w:t>
      </w:r>
      <w:proofErr w:type="spellStart"/>
      <w:r w:rsidRPr="00005B29">
        <w:rPr>
          <w:rFonts w:eastAsia="Times New Roman"/>
          <w:i/>
          <w:iCs/>
          <w:color w:val="auto"/>
        </w:rPr>
        <w:t>Orientalis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r w:rsidRPr="00005B29">
        <w:rPr>
          <w:rFonts w:eastAsia="Times New Roman"/>
          <w:color w:val="auto"/>
        </w:rPr>
        <w:t>57/1-2, January-April 2000b, pp. 188-96.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proofErr w:type="spellStart"/>
      <w:r w:rsidRPr="00005B29">
        <w:rPr>
          <w:rFonts w:eastAsia="Times New Roman"/>
          <w:color w:val="auto"/>
        </w:rPr>
        <w:t>ʿE</w:t>
      </w:r>
      <w:proofErr w:type="spellEnd"/>
      <w:r w:rsidRPr="00005B29">
        <w:rPr>
          <w:rFonts w:eastAsia="Times New Roman"/>
          <w:color w:val="auto"/>
        </w:rPr>
        <w:t xml:space="preserve">.-A. </w:t>
      </w:r>
      <w:proofErr w:type="spellStart"/>
      <w:r w:rsidRPr="00005B29">
        <w:rPr>
          <w:rFonts w:eastAsia="Times New Roman"/>
          <w:color w:val="auto"/>
        </w:rPr>
        <w:t>Negahbān</w:t>
      </w:r>
      <w:proofErr w:type="spellEnd"/>
      <w:r w:rsidRPr="00005B29">
        <w:rPr>
          <w:rFonts w:eastAsia="Times New Roman"/>
          <w:color w:val="auto"/>
        </w:rPr>
        <w:t xml:space="preserve">, “The Wonderful Gold Treasure of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>Illustrated London News</w:t>
      </w:r>
      <w:r w:rsidRPr="00005B29">
        <w:rPr>
          <w:rFonts w:eastAsia="Times New Roman"/>
          <w:color w:val="auto"/>
        </w:rPr>
        <w:t>,</w:t>
      </w:r>
      <w:r w:rsidRPr="00005B29">
        <w:rPr>
          <w:rFonts w:eastAsia="Times New Roman"/>
          <w:i/>
          <w:iCs/>
          <w:color w:val="auto"/>
        </w:rPr>
        <w:t xml:space="preserve"> 28</w:t>
      </w:r>
      <w:r w:rsidRPr="00005B29">
        <w:rPr>
          <w:rFonts w:eastAsia="Times New Roman"/>
          <w:color w:val="auto"/>
        </w:rPr>
        <w:t xml:space="preserve"> April 1962, pp. 663-64.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“The Wonderful Gold Treasures of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 xml:space="preserve">Bulletin of the Society of the Ancient Iranian Culture </w:t>
      </w:r>
      <w:r w:rsidRPr="00005B29">
        <w:rPr>
          <w:rFonts w:eastAsia="Times New Roman"/>
          <w:color w:val="auto"/>
        </w:rPr>
        <w:t>1, 1342 Š</w:t>
      </w:r>
      <w:proofErr w:type="gramStart"/>
      <w:r w:rsidRPr="00005B29">
        <w:rPr>
          <w:rFonts w:eastAsia="Times New Roman"/>
          <w:color w:val="auto"/>
        </w:rPr>
        <w:t>./</w:t>
      </w:r>
      <w:proofErr w:type="gramEnd"/>
      <w:r w:rsidRPr="00005B29">
        <w:rPr>
          <w:rFonts w:eastAsia="Times New Roman"/>
          <w:color w:val="auto"/>
        </w:rPr>
        <w:t>1963, pp. 21-28.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“A Brief Report on the Excavations at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Tepe</w:t>
      </w:r>
      <w:proofErr w:type="spellEnd"/>
      <w:r w:rsidRPr="00005B29">
        <w:rPr>
          <w:rFonts w:eastAsia="Times New Roman"/>
          <w:color w:val="auto"/>
        </w:rPr>
        <w:t xml:space="preserve"> and </w:t>
      </w:r>
      <w:proofErr w:type="spellStart"/>
      <w:r w:rsidRPr="00005B29">
        <w:rPr>
          <w:rFonts w:eastAsia="Times New Roman"/>
          <w:color w:val="auto"/>
        </w:rPr>
        <w:t>Pileh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Qaleh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 xml:space="preserve">Iran </w:t>
      </w:r>
      <w:r w:rsidRPr="00005B29">
        <w:rPr>
          <w:rFonts w:eastAsia="Times New Roman"/>
          <w:color w:val="auto"/>
        </w:rPr>
        <w:t>2, 1964a, pp. 13-19.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r w:rsidRPr="00005B29">
        <w:rPr>
          <w:rFonts w:eastAsia="Times New Roman"/>
          <w:i/>
          <w:iCs/>
          <w:color w:val="auto"/>
        </w:rPr>
        <w:t xml:space="preserve">A Preliminary Report on </w:t>
      </w:r>
      <w:proofErr w:type="spellStart"/>
      <w:r w:rsidRPr="00005B29">
        <w:rPr>
          <w:rFonts w:eastAsia="Times New Roman"/>
          <w:i/>
          <w:iCs/>
          <w:color w:val="auto"/>
        </w:rPr>
        <w:t>Mārlik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Excavations, </w:t>
      </w:r>
      <w:proofErr w:type="spellStart"/>
      <w:r w:rsidRPr="00005B29">
        <w:rPr>
          <w:rFonts w:eastAsia="Times New Roman"/>
          <w:i/>
          <w:iCs/>
          <w:color w:val="auto"/>
        </w:rPr>
        <w:t>Gohar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Rud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Expedition, </w:t>
      </w:r>
      <w:proofErr w:type="spellStart"/>
      <w:r w:rsidRPr="00005B29">
        <w:rPr>
          <w:rFonts w:eastAsia="Times New Roman"/>
          <w:i/>
          <w:iCs/>
          <w:color w:val="auto"/>
        </w:rPr>
        <w:t>Rudbar</w:t>
      </w:r>
      <w:proofErr w:type="spellEnd"/>
      <w:r w:rsidRPr="00005B29">
        <w:rPr>
          <w:rFonts w:eastAsia="Times New Roman"/>
          <w:i/>
          <w:iCs/>
          <w:color w:val="auto"/>
        </w:rPr>
        <w:t>, 1961-1962</w:t>
      </w:r>
      <w:r w:rsidRPr="00005B29">
        <w:rPr>
          <w:rFonts w:eastAsia="Times New Roman"/>
          <w:color w:val="auto"/>
        </w:rPr>
        <w:t>, Tehran, 1343 Š</w:t>
      </w:r>
      <w:proofErr w:type="gramStart"/>
      <w:r w:rsidRPr="00005B29">
        <w:rPr>
          <w:rFonts w:eastAsia="Times New Roman"/>
          <w:color w:val="auto"/>
        </w:rPr>
        <w:t>./</w:t>
      </w:r>
      <w:proofErr w:type="gramEnd"/>
      <w:r w:rsidRPr="00005B29">
        <w:rPr>
          <w:rFonts w:eastAsia="Times New Roman"/>
          <w:color w:val="auto"/>
        </w:rPr>
        <w:t>1964b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“Notes on Some Objects from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>JNES</w:t>
      </w:r>
      <w:r w:rsidRPr="00005B29">
        <w:rPr>
          <w:rFonts w:eastAsia="Times New Roman"/>
          <w:color w:val="auto"/>
        </w:rPr>
        <w:t xml:space="preserve"> 24, 1965, pp. 309-27.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“Vestiges </w:t>
      </w:r>
      <w:proofErr w:type="spellStart"/>
      <w:r w:rsidRPr="00005B29">
        <w:rPr>
          <w:rFonts w:eastAsia="Times New Roman"/>
          <w:color w:val="auto"/>
        </w:rPr>
        <w:t>d’une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civilisation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inconnue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 xml:space="preserve">Le </w:t>
      </w:r>
      <w:proofErr w:type="spellStart"/>
      <w:r w:rsidRPr="00005B29">
        <w:rPr>
          <w:rFonts w:eastAsia="Times New Roman"/>
          <w:i/>
          <w:iCs/>
          <w:color w:val="auto"/>
        </w:rPr>
        <w:t>Courrier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de </w:t>
      </w:r>
      <w:proofErr w:type="spellStart"/>
      <w:r w:rsidRPr="00005B29">
        <w:rPr>
          <w:rFonts w:eastAsia="Times New Roman"/>
          <w:i/>
          <w:iCs/>
          <w:color w:val="auto"/>
        </w:rPr>
        <w:t>l’UNESCO</w:t>
      </w:r>
      <w:proofErr w:type="spellEnd"/>
      <w:r w:rsidRPr="00005B29">
        <w:rPr>
          <w:rFonts w:eastAsia="Times New Roman"/>
          <w:color w:val="auto"/>
        </w:rPr>
        <w:t>, June 1966, pp. 16-21.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lastRenderedPageBreak/>
        <w:t>Idem, “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: A Royal Necropolis of the Second Millennium,” </w:t>
      </w:r>
      <w:proofErr w:type="spellStart"/>
      <w:r w:rsidRPr="00005B29">
        <w:rPr>
          <w:rFonts w:eastAsia="Times New Roman"/>
          <w:i/>
          <w:iCs/>
          <w:color w:val="auto"/>
        </w:rPr>
        <w:t>Archaeologia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Viva </w:t>
      </w:r>
      <w:r w:rsidRPr="00005B29">
        <w:rPr>
          <w:rFonts w:eastAsia="Times New Roman"/>
          <w:color w:val="auto"/>
        </w:rPr>
        <w:t>1, 1968, pp. 59-62.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“Pottery Figurines of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in </w:t>
      </w:r>
      <w:r w:rsidRPr="00005B29">
        <w:rPr>
          <w:rFonts w:eastAsia="Times New Roman"/>
          <w:i/>
          <w:iCs/>
          <w:color w:val="auto"/>
        </w:rPr>
        <w:t>Memorial Volume of the Vth International Congress of Iranian Art and Archaeology, Tehran, Isfahan, Shiraz, 11th-18th April 1968</w:t>
      </w:r>
      <w:r w:rsidRPr="00005B29">
        <w:rPr>
          <w:rFonts w:eastAsia="Times New Roman"/>
          <w:color w:val="auto"/>
        </w:rPr>
        <w:t>, Tehran, 1972, vol. 1, pp. 142-52.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“The Gold Vase with the Story of Life: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Royal Cemetery,” </w:t>
      </w:r>
      <w:r w:rsidRPr="00005B29">
        <w:rPr>
          <w:rFonts w:eastAsia="Times New Roman"/>
          <w:i/>
          <w:iCs/>
          <w:color w:val="auto"/>
        </w:rPr>
        <w:t xml:space="preserve">Journal of the Faculty of Letters and Human Sciences, University of Tehran </w:t>
      </w:r>
      <w:r w:rsidRPr="00005B29">
        <w:rPr>
          <w:rFonts w:eastAsia="Times New Roman"/>
          <w:color w:val="auto"/>
        </w:rPr>
        <w:t>23/1-2, 1355 Š./1976, pp. 42-67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“The Seals of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Tepe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>JNES</w:t>
      </w:r>
      <w:r w:rsidRPr="00005B29">
        <w:rPr>
          <w:rFonts w:eastAsia="Times New Roman"/>
          <w:color w:val="auto"/>
        </w:rPr>
        <w:t xml:space="preserve"> 36, 1977, pp. 81-102.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“Pottery and Bronze Human Figurines of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 xml:space="preserve">AMI </w:t>
      </w:r>
      <w:r w:rsidRPr="00005B29">
        <w:rPr>
          <w:rFonts w:eastAsia="Times New Roman"/>
          <w:color w:val="auto"/>
        </w:rPr>
        <w:t>12, 1979, pp. 157-73.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>Idem, “</w:t>
      </w:r>
      <w:proofErr w:type="spellStart"/>
      <w:r w:rsidRPr="00005B29">
        <w:rPr>
          <w:rFonts w:eastAsia="Times New Roman"/>
          <w:color w:val="auto"/>
        </w:rPr>
        <w:t>Maceheads</w:t>
      </w:r>
      <w:proofErr w:type="spellEnd"/>
      <w:r w:rsidRPr="00005B29">
        <w:rPr>
          <w:rFonts w:eastAsia="Times New Roman"/>
          <w:color w:val="auto"/>
        </w:rPr>
        <w:t xml:space="preserve"> from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>AJA</w:t>
      </w:r>
      <w:r w:rsidRPr="00005B29">
        <w:rPr>
          <w:rFonts w:eastAsia="Times New Roman"/>
          <w:color w:val="auto"/>
        </w:rPr>
        <w:t xml:space="preserve"> 85, 1981, pp. 367-78.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r w:rsidRPr="00005B29">
        <w:rPr>
          <w:rFonts w:eastAsia="Times New Roman"/>
          <w:i/>
          <w:iCs/>
          <w:color w:val="auto"/>
        </w:rPr>
        <w:t xml:space="preserve">Metal Vessels from </w:t>
      </w:r>
      <w:proofErr w:type="spellStart"/>
      <w:r w:rsidRPr="00005B29">
        <w:rPr>
          <w:rFonts w:eastAsia="Times New Roman"/>
          <w:i/>
          <w:iCs/>
          <w:color w:val="auto"/>
        </w:rPr>
        <w:t>Marlik</w:t>
      </w:r>
      <w:proofErr w:type="spellEnd"/>
      <w:r w:rsidRPr="00005B29">
        <w:rPr>
          <w:rFonts w:eastAsia="Times New Roman"/>
          <w:i/>
          <w:iCs/>
          <w:color w:val="auto"/>
        </w:rPr>
        <w:t>,</w:t>
      </w:r>
      <w:r w:rsidRPr="00005B29">
        <w:rPr>
          <w:rFonts w:eastAsia="Times New Roman"/>
          <w:color w:val="auto"/>
        </w:rPr>
        <w:t xml:space="preserve"> Munich, 1983.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r w:rsidRPr="00005B29">
        <w:rPr>
          <w:rFonts w:eastAsia="Times New Roman"/>
          <w:i/>
          <w:iCs/>
          <w:color w:val="auto"/>
        </w:rPr>
        <w:t xml:space="preserve">Metal Vessels from </w:t>
      </w:r>
      <w:proofErr w:type="spellStart"/>
      <w:r w:rsidRPr="00005B29">
        <w:rPr>
          <w:rFonts w:eastAsia="Times New Roman"/>
          <w:i/>
          <w:iCs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>, Tehran, 1368 Š</w:t>
      </w:r>
      <w:proofErr w:type="gramStart"/>
      <w:r w:rsidRPr="00005B29">
        <w:rPr>
          <w:rFonts w:eastAsia="Times New Roman"/>
          <w:color w:val="auto"/>
        </w:rPr>
        <w:t>./</w:t>
      </w:r>
      <w:proofErr w:type="gramEnd"/>
      <w:r w:rsidRPr="00005B29">
        <w:rPr>
          <w:rFonts w:eastAsia="Times New Roman"/>
          <w:color w:val="auto"/>
        </w:rPr>
        <w:t>1987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“Mosaic, Glass, and Frit Vessels from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in </w:t>
      </w:r>
      <w:r w:rsidRPr="00005B29">
        <w:rPr>
          <w:rFonts w:eastAsia="Times New Roman"/>
          <w:i/>
          <w:iCs/>
          <w:color w:val="auto"/>
        </w:rPr>
        <w:t>Essays in Ancient Civilization Presented to Helene J. Kantor</w:t>
      </w:r>
      <w:r w:rsidRPr="00005B29">
        <w:rPr>
          <w:rFonts w:eastAsia="Times New Roman"/>
          <w:color w:val="auto"/>
        </w:rPr>
        <w:t>, ed. A. Leonard and B. Williams, Chicago, 1989a, pp. 221-27.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“Pendants from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r w:rsidRPr="00005B29">
        <w:rPr>
          <w:rFonts w:eastAsia="Times New Roman"/>
          <w:i/>
          <w:iCs/>
          <w:color w:val="auto"/>
        </w:rPr>
        <w:t>IA</w:t>
      </w:r>
      <w:r w:rsidRPr="00005B29">
        <w:rPr>
          <w:rFonts w:eastAsia="Times New Roman"/>
          <w:color w:val="auto"/>
        </w:rPr>
        <w:t xml:space="preserve"> 24, 1989b, pp. 175-208.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“Horse and Mule Figurines from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in </w:t>
      </w:r>
      <w:proofErr w:type="spellStart"/>
      <w:r w:rsidRPr="00005B29">
        <w:rPr>
          <w:rFonts w:eastAsia="Times New Roman"/>
          <w:i/>
          <w:iCs/>
          <w:color w:val="auto"/>
        </w:rPr>
        <w:t>Archaeologia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Iranica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et </w:t>
      </w:r>
      <w:proofErr w:type="spellStart"/>
      <w:r w:rsidRPr="00005B29">
        <w:rPr>
          <w:rFonts w:eastAsia="Times New Roman"/>
          <w:i/>
          <w:iCs/>
          <w:color w:val="auto"/>
        </w:rPr>
        <w:t>Orientalis</w:t>
      </w:r>
      <w:proofErr w:type="spellEnd"/>
      <w:r w:rsidRPr="00005B29">
        <w:rPr>
          <w:rFonts w:eastAsia="Times New Roman"/>
          <w:i/>
          <w:iCs/>
          <w:color w:val="auto"/>
        </w:rPr>
        <w:t xml:space="preserve">: </w:t>
      </w:r>
      <w:proofErr w:type="spellStart"/>
      <w:r w:rsidRPr="00005B29">
        <w:rPr>
          <w:rFonts w:eastAsia="Times New Roman"/>
          <w:i/>
          <w:iCs/>
          <w:color w:val="auto"/>
        </w:rPr>
        <w:t>Miscellaenea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in </w:t>
      </w:r>
      <w:proofErr w:type="spellStart"/>
      <w:r w:rsidRPr="00005B29">
        <w:rPr>
          <w:rFonts w:eastAsia="Times New Roman"/>
          <w:i/>
          <w:iCs/>
          <w:color w:val="auto"/>
        </w:rPr>
        <w:t>honorem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Louis </w:t>
      </w:r>
      <w:proofErr w:type="spellStart"/>
      <w:r w:rsidRPr="00005B29">
        <w:rPr>
          <w:rFonts w:eastAsia="Times New Roman"/>
          <w:i/>
          <w:iCs/>
          <w:color w:val="auto"/>
        </w:rPr>
        <w:t>Vanden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Berghe</w:t>
      </w:r>
      <w:proofErr w:type="spellEnd"/>
      <w:r w:rsidRPr="00005B29">
        <w:rPr>
          <w:rFonts w:eastAsia="Times New Roman"/>
          <w:i/>
          <w:iCs/>
          <w:color w:val="auto"/>
        </w:rPr>
        <w:t>,</w:t>
      </w:r>
      <w:r w:rsidRPr="00005B29">
        <w:rPr>
          <w:rFonts w:eastAsia="Times New Roman"/>
          <w:color w:val="auto"/>
        </w:rPr>
        <w:t xml:space="preserve"> ed. L. De Meyer and E. </w:t>
      </w:r>
      <w:proofErr w:type="spellStart"/>
      <w:r w:rsidRPr="00005B29">
        <w:rPr>
          <w:rFonts w:eastAsia="Times New Roman"/>
          <w:color w:val="auto"/>
        </w:rPr>
        <w:t>Haerinck</w:t>
      </w:r>
      <w:proofErr w:type="spellEnd"/>
      <w:r w:rsidRPr="00005B29">
        <w:rPr>
          <w:rFonts w:eastAsia="Times New Roman"/>
          <w:color w:val="auto"/>
        </w:rPr>
        <w:t>, Ghent, 1989c, pp. 287-309.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“Silver Vessels of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with Gold Spout and Impressed Gold Designs,” in </w:t>
      </w:r>
      <w:proofErr w:type="spellStart"/>
      <w:r w:rsidRPr="00005B29">
        <w:rPr>
          <w:rFonts w:eastAsia="Times New Roman"/>
          <w:i/>
          <w:iCs/>
          <w:color w:val="auto"/>
        </w:rPr>
        <w:t>Iranica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Varia</w:t>
      </w:r>
      <w:proofErr w:type="spellEnd"/>
      <w:r w:rsidRPr="00005B29">
        <w:rPr>
          <w:rFonts w:eastAsia="Times New Roman"/>
          <w:i/>
          <w:iCs/>
          <w:color w:val="auto"/>
        </w:rPr>
        <w:t xml:space="preserve">: Papers in Honor of Professor Ehsan </w:t>
      </w:r>
      <w:proofErr w:type="spellStart"/>
      <w:r w:rsidRPr="00005B29">
        <w:rPr>
          <w:rFonts w:eastAsia="Times New Roman"/>
          <w:i/>
          <w:iCs/>
          <w:color w:val="auto"/>
        </w:rPr>
        <w:t>Yarshater</w:t>
      </w:r>
      <w:proofErr w:type="spellEnd"/>
      <w:r w:rsidRPr="00005B29">
        <w:rPr>
          <w:rFonts w:eastAsia="Times New Roman"/>
          <w:color w:val="auto"/>
        </w:rPr>
        <w:t xml:space="preserve">, ed. D. Amin, M. </w:t>
      </w:r>
      <w:proofErr w:type="spellStart"/>
      <w:r w:rsidRPr="00005B29">
        <w:rPr>
          <w:rFonts w:eastAsia="Times New Roman"/>
          <w:color w:val="auto"/>
        </w:rPr>
        <w:t>Kasheff</w:t>
      </w:r>
      <w:proofErr w:type="spellEnd"/>
      <w:r w:rsidRPr="00005B29">
        <w:rPr>
          <w:rFonts w:eastAsia="Times New Roman"/>
          <w:color w:val="auto"/>
        </w:rPr>
        <w:t xml:space="preserve">, and A. Sh. </w:t>
      </w:r>
      <w:proofErr w:type="spellStart"/>
      <w:r w:rsidRPr="00005B29">
        <w:rPr>
          <w:rFonts w:eastAsia="Times New Roman"/>
          <w:color w:val="auto"/>
        </w:rPr>
        <w:t>Shahbazi</w:t>
      </w:r>
      <w:proofErr w:type="spellEnd"/>
      <w:r w:rsidRPr="00005B29">
        <w:rPr>
          <w:rFonts w:eastAsia="Times New Roman"/>
          <w:color w:val="auto"/>
        </w:rPr>
        <w:t>, Leiden, 1990, pp. 144-51.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r w:rsidRPr="00005B29">
        <w:rPr>
          <w:rFonts w:eastAsia="Times New Roman"/>
          <w:i/>
          <w:iCs/>
          <w:color w:val="auto"/>
        </w:rPr>
        <w:t xml:space="preserve">Weapons from </w:t>
      </w:r>
      <w:proofErr w:type="spellStart"/>
      <w:r w:rsidRPr="00005B29">
        <w:rPr>
          <w:rFonts w:eastAsia="Times New Roman"/>
          <w:i/>
          <w:iCs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>, Berlin, 1995.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proofErr w:type="spellStart"/>
      <w:r w:rsidRPr="00005B29">
        <w:rPr>
          <w:rFonts w:eastAsia="Times New Roman"/>
          <w:i/>
          <w:iCs/>
          <w:color w:val="auto"/>
        </w:rPr>
        <w:t>Marlik</w:t>
      </w:r>
      <w:proofErr w:type="spellEnd"/>
      <w:r w:rsidRPr="00005B29">
        <w:rPr>
          <w:rFonts w:eastAsia="Times New Roman"/>
          <w:i/>
          <w:iCs/>
          <w:color w:val="auto"/>
        </w:rPr>
        <w:t>: The Complete Excavation Report</w:t>
      </w:r>
      <w:r w:rsidRPr="00005B29">
        <w:rPr>
          <w:rFonts w:eastAsia="Times New Roman"/>
          <w:color w:val="auto"/>
        </w:rPr>
        <w:t xml:space="preserve">, 2 </w:t>
      </w:r>
      <w:proofErr w:type="gramStart"/>
      <w:r w:rsidRPr="00005B29">
        <w:rPr>
          <w:rFonts w:eastAsia="Times New Roman"/>
          <w:color w:val="auto"/>
        </w:rPr>
        <w:t>vols.,</w:t>
      </w:r>
      <w:proofErr w:type="gramEnd"/>
      <w:r w:rsidRPr="00005B29">
        <w:rPr>
          <w:rFonts w:eastAsia="Times New Roman"/>
          <w:color w:val="auto"/>
        </w:rPr>
        <w:t xml:space="preserve"> Philadelphia, 1996a.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r w:rsidRPr="00005B29">
        <w:rPr>
          <w:rFonts w:eastAsia="Times New Roman"/>
          <w:i/>
          <w:iCs/>
          <w:color w:val="auto"/>
        </w:rPr>
        <w:t xml:space="preserve">Excavations at </w:t>
      </w:r>
      <w:proofErr w:type="spellStart"/>
      <w:r w:rsidRPr="00005B29">
        <w:rPr>
          <w:rFonts w:eastAsia="Times New Roman"/>
          <w:i/>
          <w:iCs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>, Tehran, 1375 Š</w:t>
      </w:r>
      <w:proofErr w:type="gramStart"/>
      <w:r w:rsidRPr="00005B29">
        <w:rPr>
          <w:rFonts w:eastAsia="Times New Roman"/>
          <w:color w:val="auto"/>
        </w:rPr>
        <w:t>./</w:t>
      </w:r>
      <w:proofErr w:type="gramEnd"/>
      <w:r w:rsidRPr="00005B29">
        <w:rPr>
          <w:rFonts w:eastAsia="Times New Roman"/>
          <w:color w:val="auto"/>
        </w:rPr>
        <w:t>1996b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</w:t>
      </w:r>
      <w:r w:rsidRPr="00005B29">
        <w:rPr>
          <w:rFonts w:eastAsia="Times New Roman"/>
          <w:i/>
          <w:iCs/>
          <w:color w:val="auto"/>
        </w:rPr>
        <w:t>Fifty Years of Iranian Archaeology</w:t>
      </w:r>
      <w:r w:rsidRPr="00005B29">
        <w:rPr>
          <w:rFonts w:eastAsia="Times New Roman"/>
          <w:color w:val="auto"/>
        </w:rPr>
        <w:t>, Tehran, 1376 Š</w:t>
      </w:r>
      <w:proofErr w:type="gramStart"/>
      <w:r w:rsidRPr="00005B29">
        <w:rPr>
          <w:rFonts w:eastAsia="Times New Roman"/>
          <w:color w:val="auto"/>
        </w:rPr>
        <w:t>./</w:t>
      </w:r>
      <w:proofErr w:type="gramEnd"/>
      <w:r w:rsidRPr="00005B29">
        <w:rPr>
          <w:rFonts w:eastAsia="Times New Roman"/>
          <w:color w:val="auto"/>
        </w:rPr>
        <w:t>1997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“Suggestions on the Origin and Background of the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Culture,” </w:t>
      </w:r>
      <w:r w:rsidRPr="00005B29">
        <w:rPr>
          <w:rFonts w:eastAsia="Times New Roman"/>
          <w:i/>
          <w:iCs/>
          <w:color w:val="auto"/>
        </w:rPr>
        <w:t xml:space="preserve">IA </w:t>
      </w:r>
      <w:r w:rsidRPr="00005B29">
        <w:rPr>
          <w:rFonts w:eastAsia="Times New Roman"/>
          <w:color w:val="auto"/>
        </w:rPr>
        <w:t>33, 1998, pp. 43-56.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“Excavations at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</w:t>
      </w:r>
      <w:proofErr w:type="spellStart"/>
      <w:r w:rsidRPr="00005B29">
        <w:rPr>
          <w:rFonts w:eastAsia="Times New Roman"/>
          <w:color w:val="auto"/>
        </w:rPr>
        <w:t>Tepe</w:t>
      </w:r>
      <w:proofErr w:type="spellEnd"/>
      <w:r w:rsidRPr="00005B29">
        <w:rPr>
          <w:rFonts w:eastAsia="Times New Roman"/>
          <w:color w:val="auto"/>
        </w:rPr>
        <w:t xml:space="preserve">,” </w:t>
      </w:r>
      <w:proofErr w:type="spellStart"/>
      <w:r w:rsidRPr="00005B29">
        <w:rPr>
          <w:rFonts w:eastAsia="Times New Roman"/>
          <w:i/>
          <w:iCs/>
          <w:color w:val="auto"/>
        </w:rPr>
        <w:t>EIr</w:t>
      </w:r>
      <w:proofErr w:type="spellEnd"/>
      <w:r w:rsidRPr="00005B29">
        <w:rPr>
          <w:rFonts w:eastAsia="Times New Roman"/>
          <w:color w:val="auto"/>
        </w:rPr>
        <w:t xml:space="preserve"> X/6, 2001, pp. 627-34.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lastRenderedPageBreak/>
        <w:t xml:space="preserve">E. </w:t>
      </w:r>
      <w:proofErr w:type="spellStart"/>
      <w:r w:rsidRPr="00005B29">
        <w:rPr>
          <w:rFonts w:eastAsia="Times New Roman"/>
          <w:color w:val="auto"/>
        </w:rPr>
        <w:t>Porada</w:t>
      </w:r>
      <w:proofErr w:type="spellEnd"/>
      <w:r w:rsidRPr="00005B29">
        <w:rPr>
          <w:rFonts w:eastAsia="Times New Roman"/>
          <w:color w:val="auto"/>
        </w:rPr>
        <w:t xml:space="preserve">, </w:t>
      </w:r>
      <w:proofErr w:type="gramStart"/>
      <w:r w:rsidRPr="00005B29">
        <w:rPr>
          <w:rFonts w:eastAsia="Times New Roman"/>
          <w:i/>
          <w:iCs/>
          <w:color w:val="auto"/>
        </w:rPr>
        <w:t>The</w:t>
      </w:r>
      <w:proofErr w:type="gramEnd"/>
      <w:r w:rsidRPr="00005B29">
        <w:rPr>
          <w:rFonts w:eastAsia="Times New Roman"/>
          <w:i/>
          <w:iCs/>
          <w:color w:val="auto"/>
        </w:rPr>
        <w:t xml:space="preserve"> Art of Ancient Iran: Pre-Islamic Cultures</w:t>
      </w:r>
      <w:r w:rsidRPr="00005B29">
        <w:rPr>
          <w:rFonts w:eastAsia="Times New Roman"/>
          <w:color w:val="auto"/>
        </w:rPr>
        <w:t>, New York, 1965.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Ḥ.-A. </w:t>
      </w:r>
      <w:proofErr w:type="spellStart"/>
      <w:r w:rsidRPr="00005B29">
        <w:rPr>
          <w:rFonts w:eastAsia="Times New Roman"/>
          <w:color w:val="auto"/>
        </w:rPr>
        <w:t>Ṣamadi</w:t>
      </w:r>
      <w:proofErr w:type="spellEnd"/>
      <w:r w:rsidRPr="00005B29">
        <w:rPr>
          <w:rFonts w:eastAsia="Times New Roman"/>
          <w:color w:val="auto"/>
        </w:rPr>
        <w:t xml:space="preserve">, </w:t>
      </w:r>
      <w:r w:rsidRPr="00005B29">
        <w:rPr>
          <w:rFonts w:eastAsia="Times New Roman"/>
          <w:i/>
          <w:iCs/>
          <w:color w:val="auto"/>
        </w:rPr>
        <w:t xml:space="preserve">Les </w:t>
      </w:r>
      <w:proofErr w:type="spellStart"/>
      <w:r w:rsidRPr="00005B29">
        <w:rPr>
          <w:rFonts w:eastAsia="Times New Roman"/>
          <w:i/>
          <w:iCs/>
          <w:color w:val="auto"/>
        </w:rPr>
        <w:t>découvertes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fortuites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Kalardasht</w:t>
      </w:r>
      <w:proofErr w:type="spellEnd"/>
      <w:r w:rsidRPr="00005B29">
        <w:rPr>
          <w:rFonts w:eastAsia="Times New Roman"/>
          <w:i/>
          <w:iCs/>
          <w:color w:val="auto"/>
        </w:rPr>
        <w:t xml:space="preserve">, </w:t>
      </w:r>
      <w:proofErr w:type="spellStart"/>
      <w:r w:rsidRPr="00005B29">
        <w:rPr>
          <w:rFonts w:eastAsia="Times New Roman"/>
          <w:i/>
          <w:iCs/>
          <w:color w:val="auto"/>
        </w:rPr>
        <w:t>Garmabak</w:t>
      </w:r>
      <w:proofErr w:type="spellEnd"/>
      <w:r w:rsidRPr="00005B29">
        <w:rPr>
          <w:rFonts w:eastAsia="Times New Roman"/>
          <w:i/>
          <w:iCs/>
          <w:color w:val="auto"/>
        </w:rPr>
        <w:t xml:space="preserve">, </w:t>
      </w:r>
      <w:proofErr w:type="spellStart"/>
      <w:r w:rsidRPr="00005B29">
        <w:rPr>
          <w:rFonts w:eastAsia="Times New Roman"/>
          <w:i/>
          <w:iCs/>
          <w:color w:val="auto"/>
        </w:rPr>
        <w:t>Emam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</w:t>
      </w:r>
      <w:proofErr w:type="gramStart"/>
      <w:r w:rsidRPr="00005B29">
        <w:rPr>
          <w:rFonts w:eastAsia="Times New Roman"/>
          <w:i/>
          <w:iCs/>
          <w:color w:val="auto"/>
        </w:rPr>
        <w:t>et</w:t>
      </w:r>
      <w:proofErr w:type="gramEnd"/>
      <w:r w:rsidRPr="00005B29">
        <w:rPr>
          <w:rFonts w:eastAsia="Times New Roman"/>
          <w:i/>
          <w:iCs/>
          <w:color w:val="auto"/>
        </w:rPr>
        <w:t xml:space="preserve"> </w:t>
      </w:r>
      <w:proofErr w:type="spellStart"/>
      <w:r w:rsidRPr="00005B29">
        <w:rPr>
          <w:rFonts w:eastAsia="Times New Roman"/>
          <w:i/>
          <w:iCs/>
          <w:color w:val="auto"/>
        </w:rPr>
        <w:t>Tomadjan</w:t>
      </w:r>
      <w:proofErr w:type="spellEnd"/>
      <w:r w:rsidRPr="00005B29">
        <w:rPr>
          <w:rFonts w:eastAsia="Times New Roman"/>
          <w:i/>
          <w:iCs/>
          <w:color w:val="auto"/>
        </w:rPr>
        <w:t xml:space="preserve"> (Mazandaran et </w:t>
      </w:r>
      <w:proofErr w:type="spellStart"/>
      <w:r w:rsidRPr="00005B29">
        <w:rPr>
          <w:rFonts w:eastAsia="Times New Roman"/>
          <w:i/>
          <w:iCs/>
          <w:color w:val="auto"/>
        </w:rPr>
        <w:t>Guilan</w:t>
      </w:r>
      <w:proofErr w:type="spellEnd"/>
      <w:r w:rsidRPr="00005B29">
        <w:rPr>
          <w:rFonts w:eastAsia="Times New Roman"/>
          <w:i/>
          <w:iCs/>
          <w:color w:val="auto"/>
        </w:rPr>
        <w:t>)</w:t>
      </w:r>
      <w:r w:rsidRPr="00005B29">
        <w:rPr>
          <w:rFonts w:eastAsia="Times New Roman"/>
          <w:color w:val="auto"/>
        </w:rPr>
        <w:t>, Tehran, 1959.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proofErr w:type="spellStart"/>
      <w:r w:rsidRPr="00005B29">
        <w:rPr>
          <w:rFonts w:eastAsia="Times New Roman"/>
          <w:color w:val="auto"/>
        </w:rPr>
        <w:t>ʿA</w:t>
      </w:r>
      <w:proofErr w:type="spellEnd"/>
      <w:r w:rsidRPr="00005B29">
        <w:rPr>
          <w:rFonts w:eastAsia="Times New Roman"/>
          <w:color w:val="auto"/>
        </w:rPr>
        <w:t xml:space="preserve">.-A. </w:t>
      </w:r>
      <w:proofErr w:type="spellStart"/>
      <w:r w:rsidRPr="00005B29">
        <w:rPr>
          <w:rFonts w:eastAsia="Times New Roman"/>
          <w:color w:val="auto"/>
        </w:rPr>
        <w:t>Vaḥdati</w:t>
      </w:r>
      <w:proofErr w:type="spellEnd"/>
      <w:r w:rsidRPr="00005B29">
        <w:rPr>
          <w:rFonts w:eastAsia="Times New Roman"/>
          <w:color w:val="auto"/>
        </w:rPr>
        <w:t xml:space="preserve">, </w:t>
      </w:r>
      <w:r w:rsidRPr="00005B29">
        <w:rPr>
          <w:rFonts w:eastAsia="Times New Roman"/>
          <w:i/>
          <w:iCs/>
          <w:color w:val="auto"/>
        </w:rPr>
        <w:t xml:space="preserve">Research on the Ceremonial Aspects of Images, Figures, Motifs, and Figurines from </w:t>
      </w:r>
      <w:proofErr w:type="spellStart"/>
      <w:r w:rsidRPr="00005B29">
        <w:rPr>
          <w:rFonts w:eastAsia="Times New Roman"/>
          <w:i/>
          <w:iCs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>, M.A. Diss., Department of Archaeology, Tehran University, 2005a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Idem. “Another Look at the Gold Vessel with the So-called “Story of Life” from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,” </w:t>
      </w:r>
      <w:proofErr w:type="spellStart"/>
      <w:r w:rsidRPr="00005B29">
        <w:rPr>
          <w:rFonts w:eastAsia="Times New Roman"/>
          <w:i/>
          <w:iCs/>
          <w:color w:val="auto"/>
        </w:rPr>
        <w:t>Bāstānšenāsi</w:t>
      </w:r>
      <w:proofErr w:type="spellEnd"/>
      <w:r w:rsidRPr="00005B29">
        <w:rPr>
          <w:rFonts w:eastAsia="Times New Roman"/>
          <w:color w:val="auto"/>
        </w:rPr>
        <w:t xml:space="preserve"> 1, 2005b, pp. 39-51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Idem, “An Assessment of the Dates Proposed for the </w:t>
      </w:r>
      <w:proofErr w:type="spellStart"/>
      <w:r w:rsidRPr="00005B29">
        <w:rPr>
          <w:rFonts w:eastAsia="Times New Roman"/>
          <w:color w:val="auto"/>
        </w:rPr>
        <w:t>Mārlik</w:t>
      </w:r>
      <w:proofErr w:type="spellEnd"/>
      <w:r w:rsidRPr="00005B29">
        <w:rPr>
          <w:rFonts w:eastAsia="Times New Roman"/>
          <w:color w:val="auto"/>
        </w:rPr>
        <w:t xml:space="preserve"> Cemetery,” </w:t>
      </w:r>
      <w:proofErr w:type="spellStart"/>
      <w:r w:rsidRPr="00005B29">
        <w:rPr>
          <w:rFonts w:eastAsia="Times New Roman"/>
          <w:i/>
          <w:iCs/>
          <w:color w:val="auto"/>
        </w:rPr>
        <w:t>Bāstānšenāsi</w:t>
      </w:r>
      <w:proofErr w:type="spellEnd"/>
      <w:r w:rsidRPr="00005B29">
        <w:rPr>
          <w:rFonts w:eastAsia="Times New Roman"/>
          <w:color w:val="auto"/>
        </w:rPr>
        <w:t xml:space="preserve"> 2, 2006, pp. 55-64 (in Persian).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 xml:space="preserve">Ch. K. Wilkinson, “Art of </w:t>
      </w:r>
      <w:proofErr w:type="spellStart"/>
      <w:r w:rsidRPr="00005B29">
        <w:rPr>
          <w:rFonts w:eastAsia="Times New Roman"/>
          <w:color w:val="auto"/>
        </w:rPr>
        <w:t>Marlik</w:t>
      </w:r>
      <w:proofErr w:type="spellEnd"/>
      <w:r w:rsidRPr="00005B29">
        <w:rPr>
          <w:rFonts w:eastAsia="Times New Roman"/>
          <w:color w:val="auto"/>
        </w:rPr>
        <w:t xml:space="preserve"> Culture,” </w:t>
      </w:r>
      <w:r w:rsidRPr="00005B29">
        <w:rPr>
          <w:rFonts w:eastAsia="Times New Roman"/>
          <w:i/>
          <w:iCs/>
          <w:color w:val="auto"/>
        </w:rPr>
        <w:t>The Metropolitan Museum of Art Bulletin</w:t>
      </w:r>
      <w:r w:rsidRPr="00005B29">
        <w:rPr>
          <w:rFonts w:eastAsia="Times New Roman"/>
          <w:color w:val="auto"/>
        </w:rPr>
        <w:t xml:space="preserve"> 24, 1965, pp. 101-9.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>(</w:t>
      </w:r>
      <w:proofErr w:type="spellStart"/>
      <w:r w:rsidRPr="00005B29">
        <w:rPr>
          <w:rFonts w:eastAsia="Times New Roman"/>
          <w:color w:val="auto"/>
        </w:rPr>
        <w:t>Kamyar</w:t>
      </w:r>
      <w:proofErr w:type="spellEnd"/>
      <w:r w:rsidRPr="00005B29">
        <w:rPr>
          <w:rFonts w:eastAsia="Times New Roman"/>
          <w:color w:val="auto"/>
        </w:rPr>
        <w:t xml:space="preserve"> Abdi)</w:t>
      </w:r>
    </w:p>
    <w:p w:rsidR="00005B29" w:rsidRPr="00005B29" w:rsidRDefault="00005B29" w:rsidP="00005B29">
      <w:pPr>
        <w:spacing w:before="100" w:beforeAutospacing="1" w:after="100" w:afterAutospacing="1" w:line="240" w:lineRule="auto"/>
        <w:rPr>
          <w:rFonts w:eastAsia="Times New Roman"/>
          <w:color w:val="auto"/>
        </w:rPr>
      </w:pPr>
      <w:r w:rsidRPr="00005B29">
        <w:rPr>
          <w:rFonts w:eastAsia="Times New Roman"/>
          <w:color w:val="auto"/>
        </w:rPr>
        <w:t>Last Updated: March 15, 2010</w:t>
      </w:r>
    </w:p>
    <w:p w:rsidR="00B30807" w:rsidRPr="00B30807" w:rsidRDefault="00B30807" w:rsidP="00B30807">
      <w:pPr>
        <w:spacing w:before="100" w:beforeAutospacing="1" w:after="100" w:afterAutospacing="1" w:line="240" w:lineRule="auto"/>
        <w:outlineLvl w:val="0"/>
        <w:rPr>
          <w:rFonts w:eastAsia="Times New Roman"/>
          <w:bCs/>
          <w:color w:val="auto"/>
          <w:kern w:val="36"/>
          <w:sz w:val="48"/>
          <w:szCs w:val="48"/>
        </w:rPr>
      </w:pPr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 xml:space="preserve">Culture: </w:t>
      </w:r>
      <w:proofErr w:type="spellStart"/>
      <w:r w:rsidRPr="00B30807">
        <w:rPr>
          <w:rFonts w:eastAsia="Times New Roman"/>
          <w:color w:val="auto"/>
        </w:rPr>
        <w:t>Parthisch</w:t>
      </w:r>
      <w:proofErr w:type="spellEnd"/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>Period: 2nd-1st century B.C.</w:t>
      </w:r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 xml:space="preserve">Material: </w:t>
      </w:r>
      <w:proofErr w:type="spellStart"/>
      <w:r w:rsidRPr="00B30807">
        <w:rPr>
          <w:rFonts w:eastAsia="Times New Roman"/>
          <w:color w:val="auto"/>
        </w:rPr>
        <w:t>Terrakotta</w:t>
      </w:r>
      <w:proofErr w:type="spellEnd"/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>Dimensions: 20.5 cm x 29 cm</w:t>
      </w:r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>Price: 2 800 Euro</w:t>
      </w:r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>Ref: 6105</w:t>
      </w:r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 xml:space="preserve">Provenance: </w:t>
      </w:r>
      <w:proofErr w:type="spellStart"/>
      <w:r w:rsidRPr="00B30807">
        <w:rPr>
          <w:rFonts w:eastAsia="Times New Roman"/>
          <w:color w:val="auto"/>
        </w:rPr>
        <w:t>Antikenhandel</w:t>
      </w:r>
      <w:proofErr w:type="spellEnd"/>
      <w:r w:rsidRPr="00B30807">
        <w:rPr>
          <w:rFonts w:eastAsia="Times New Roman"/>
          <w:color w:val="auto"/>
        </w:rPr>
        <w:t xml:space="preserve"> </w:t>
      </w:r>
      <w:proofErr w:type="spellStart"/>
      <w:r w:rsidRPr="00B30807">
        <w:rPr>
          <w:rFonts w:eastAsia="Times New Roman"/>
          <w:color w:val="auto"/>
        </w:rPr>
        <w:t>Yeganeh</w:t>
      </w:r>
      <w:proofErr w:type="spellEnd"/>
      <w:r w:rsidRPr="00B30807">
        <w:rPr>
          <w:rFonts w:eastAsia="Times New Roman"/>
          <w:color w:val="auto"/>
        </w:rPr>
        <w:t xml:space="preserve"> from 1950 to 1983. Thence collection of the heirs. Sold on 11 August 2015 to </w:t>
      </w:r>
      <w:proofErr w:type="spellStart"/>
      <w:r w:rsidRPr="00B30807">
        <w:rPr>
          <w:rFonts w:eastAsia="Times New Roman"/>
          <w:color w:val="auto"/>
        </w:rPr>
        <w:t>Galerie</w:t>
      </w:r>
      <w:proofErr w:type="spellEnd"/>
      <w:r w:rsidRPr="00B30807">
        <w:rPr>
          <w:rFonts w:eastAsia="Times New Roman"/>
          <w:color w:val="auto"/>
        </w:rPr>
        <w:t xml:space="preserve"> </w:t>
      </w:r>
      <w:proofErr w:type="spellStart"/>
      <w:r w:rsidRPr="00B30807">
        <w:rPr>
          <w:rFonts w:eastAsia="Times New Roman"/>
          <w:color w:val="auto"/>
        </w:rPr>
        <w:t>Antiken-Kabinett</w:t>
      </w:r>
      <w:proofErr w:type="spellEnd"/>
      <w:r w:rsidRPr="00B30807">
        <w:rPr>
          <w:rFonts w:eastAsia="Times New Roman"/>
          <w:color w:val="auto"/>
        </w:rPr>
        <w:t xml:space="preserve"> </w:t>
      </w:r>
      <w:proofErr w:type="spellStart"/>
      <w:r w:rsidRPr="00B30807">
        <w:rPr>
          <w:rFonts w:eastAsia="Times New Roman"/>
          <w:color w:val="auto"/>
        </w:rPr>
        <w:t>Gackstätter</w:t>
      </w:r>
      <w:proofErr w:type="spellEnd"/>
      <w:r w:rsidRPr="00B30807">
        <w:rPr>
          <w:rFonts w:eastAsia="Times New Roman"/>
          <w:color w:val="auto"/>
        </w:rPr>
        <w:t xml:space="preserve">, inventory number 01497. With certificate of </w:t>
      </w:r>
      <w:proofErr w:type="spellStart"/>
      <w:r w:rsidRPr="00B30807">
        <w:rPr>
          <w:rFonts w:eastAsia="Times New Roman"/>
          <w:color w:val="auto"/>
        </w:rPr>
        <w:t>Galerie</w:t>
      </w:r>
      <w:proofErr w:type="spellEnd"/>
      <w:r w:rsidRPr="00B30807">
        <w:rPr>
          <w:rFonts w:eastAsia="Times New Roman"/>
          <w:color w:val="auto"/>
        </w:rPr>
        <w:t xml:space="preserve"> </w:t>
      </w:r>
      <w:proofErr w:type="spellStart"/>
      <w:r w:rsidRPr="00B30807">
        <w:rPr>
          <w:rFonts w:eastAsia="Times New Roman"/>
          <w:color w:val="auto"/>
        </w:rPr>
        <w:t>Antiken-Kabinett</w:t>
      </w:r>
      <w:proofErr w:type="spellEnd"/>
      <w:r w:rsidRPr="00B30807">
        <w:rPr>
          <w:rFonts w:eastAsia="Times New Roman"/>
          <w:color w:val="auto"/>
        </w:rPr>
        <w:t xml:space="preserve"> and a letter of the </w:t>
      </w:r>
      <w:proofErr w:type="spellStart"/>
      <w:r w:rsidRPr="00B30807">
        <w:rPr>
          <w:rFonts w:eastAsia="Times New Roman"/>
          <w:color w:val="auto"/>
        </w:rPr>
        <w:t>Yeganeh</w:t>
      </w:r>
      <w:proofErr w:type="spellEnd"/>
      <w:r w:rsidRPr="00B30807">
        <w:rPr>
          <w:rFonts w:eastAsia="Times New Roman"/>
          <w:color w:val="auto"/>
        </w:rPr>
        <w:t xml:space="preserve"> heirs confirming the provenance.</w:t>
      </w:r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>Condition: Two fragments on the outlet reattached, otherwise wonderfully preserved.</w:t>
      </w:r>
    </w:p>
    <w:p w:rsidR="00B30807" w:rsidRPr="00B30807" w:rsidRDefault="00B30807" w:rsidP="00B30807">
      <w:pPr>
        <w:spacing w:after="0" w:line="240" w:lineRule="auto"/>
        <w:rPr>
          <w:rFonts w:eastAsia="Times New Roman"/>
          <w:color w:val="auto"/>
        </w:rPr>
      </w:pPr>
      <w:r w:rsidRPr="00B30807">
        <w:rPr>
          <w:rFonts w:eastAsia="Times New Roman"/>
          <w:color w:val="auto"/>
        </w:rPr>
        <w:t xml:space="preserve">Description: Large libation vessel of the red polished ware from the Parthian period. The corpulent, ovoid rhyton stands on four stump legs. In the front a long, slender neck, forming to the end a pouring spout which finishes off horizontally in the form of a snout. Two plastically set off eyes with circular pupils. In between a knob indicating a small horn. On the spine a funnel-shaped outlet and in the back a loop handle, reaching from the outlet to the body. See: </w:t>
      </w:r>
      <w:proofErr w:type="spellStart"/>
      <w:r w:rsidRPr="00B30807">
        <w:rPr>
          <w:rFonts w:eastAsia="Times New Roman"/>
          <w:color w:val="auto"/>
        </w:rPr>
        <w:t>Wilfried</w:t>
      </w:r>
      <w:proofErr w:type="spellEnd"/>
      <w:r w:rsidRPr="00B30807">
        <w:rPr>
          <w:rFonts w:eastAsia="Times New Roman"/>
          <w:color w:val="auto"/>
        </w:rPr>
        <w:t xml:space="preserve"> </w:t>
      </w:r>
      <w:proofErr w:type="spellStart"/>
      <w:r w:rsidRPr="00B30807">
        <w:rPr>
          <w:rFonts w:eastAsia="Times New Roman"/>
          <w:color w:val="auto"/>
        </w:rPr>
        <w:t>Seipel</w:t>
      </w:r>
      <w:proofErr w:type="spellEnd"/>
      <w:r w:rsidRPr="00B30807">
        <w:rPr>
          <w:rFonts w:eastAsia="Times New Roman"/>
          <w:color w:val="auto"/>
        </w:rPr>
        <w:t xml:space="preserve">, “1.000 </w:t>
      </w:r>
      <w:proofErr w:type="spellStart"/>
      <w:r w:rsidRPr="00B30807">
        <w:rPr>
          <w:rFonts w:eastAsia="Times New Roman"/>
          <w:color w:val="auto"/>
        </w:rPr>
        <w:t>Jahre</w:t>
      </w:r>
      <w:proofErr w:type="spellEnd"/>
      <w:r w:rsidRPr="00B30807">
        <w:rPr>
          <w:rFonts w:eastAsia="Times New Roman"/>
          <w:color w:val="auto"/>
        </w:rPr>
        <w:t xml:space="preserve"> </w:t>
      </w:r>
      <w:proofErr w:type="spellStart"/>
      <w:r w:rsidRPr="00B30807">
        <w:rPr>
          <w:rFonts w:eastAsia="Times New Roman"/>
          <w:color w:val="auto"/>
        </w:rPr>
        <w:t>persische</w:t>
      </w:r>
      <w:proofErr w:type="spellEnd"/>
      <w:r w:rsidRPr="00B30807">
        <w:rPr>
          <w:rFonts w:eastAsia="Times New Roman"/>
          <w:color w:val="auto"/>
        </w:rPr>
        <w:t xml:space="preserve"> </w:t>
      </w:r>
      <w:proofErr w:type="spellStart"/>
      <w:r w:rsidRPr="00B30807">
        <w:rPr>
          <w:rFonts w:eastAsia="Times New Roman"/>
          <w:color w:val="auto"/>
        </w:rPr>
        <w:t>Kunst</w:t>
      </w:r>
      <w:proofErr w:type="spellEnd"/>
      <w:r w:rsidRPr="00B30807">
        <w:rPr>
          <w:rFonts w:eastAsia="Times New Roman"/>
          <w:color w:val="auto"/>
        </w:rPr>
        <w:t xml:space="preserve">”, </w:t>
      </w:r>
      <w:proofErr w:type="spellStart"/>
      <w:r w:rsidRPr="00B30807">
        <w:rPr>
          <w:rFonts w:eastAsia="Times New Roman"/>
          <w:color w:val="auto"/>
        </w:rPr>
        <w:t>Kunsthalle</w:t>
      </w:r>
      <w:proofErr w:type="spellEnd"/>
      <w:r w:rsidRPr="00B30807">
        <w:rPr>
          <w:rFonts w:eastAsia="Times New Roman"/>
          <w:color w:val="auto"/>
        </w:rPr>
        <w:t xml:space="preserve"> Bonn 2002, Abb. 145.</w:t>
      </w:r>
    </w:p>
    <w:p w:rsidR="00B30807" w:rsidRDefault="00B30807"/>
    <w:sectPr w:rsidR="00B30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807"/>
    <w:rsid w:val="00005B29"/>
    <w:rsid w:val="00151F1C"/>
    <w:rsid w:val="0019501D"/>
    <w:rsid w:val="00256C0C"/>
    <w:rsid w:val="00374871"/>
    <w:rsid w:val="005920FD"/>
    <w:rsid w:val="00841862"/>
    <w:rsid w:val="00B30807"/>
    <w:rsid w:val="00C2146E"/>
    <w:rsid w:val="00C7555F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76DB95-9FB3-4A9F-BAA1-3C3EE8216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0807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color w:val="auto"/>
      <w:kern w:val="36"/>
      <w:sz w:val="48"/>
      <w:szCs w:val="4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8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807"/>
    <w:rPr>
      <w:rFonts w:eastAsia="Times New Roman"/>
      <w:b/>
      <w:bCs/>
      <w:color w:val="auto"/>
      <w:kern w:val="36"/>
      <w:sz w:val="48"/>
      <w:szCs w:val="48"/>
    </w:rPr>
  </w:style>
  <w:style w:type="character" w:customStyle="1" w:styleId="product-attribute-title">
    <w:name w:val="product-attribute-title"/>
    <w:basedOn w:val="DefaultParagraphFont"/>
    <w:rsid w:val="00B30807"/>
  </w:style>
  <w:style w:type="character" w:customStyle="1" w:styleId="addescription">
    <w:name w:val="addescription"/>
    <w:basedOn w:val="DefaultParagraphFont"/>
    <w:rsid w:val="00B30807"/>
  </w:style>
  <w:style w:type="character" w:customStyle="1" w:styleId="Heading5Char">
    <w:name w:val="Heading 5 Char"/>
    <w:basedOn w:val="DefaultParagraphFont"/>
    <w:link w:val="Heading5"/>
    <w:uiPriority w:val="9"/>
    <w:semiHidden/>
    <w:rsid w:val="00B30807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B3080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5B29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Strong">
    <w:name w:val="Strong"/>
    <w:basedOn w:val="DefaultParagraphFont"/>
    <w:qFormat/>
    <w:rsid w:val="00005B29"/>
    <w:rPr>
      <w:b/>
      <w:bCs/>
    </w:rPr>
  </w:style>
  <w:style w:type="character" w:styleId="Emphasis">
    <w:name w:val="Emphasis"/>
    <w:basedOn w:val="DefaultParagraphFont"/>
    <w:uiPriority w:val="20"/>
    <w:qFormat/>
    <w:rsid w:val="00005B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6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6</Pages>
  <Words>1451</Words>
  <Characters>8276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2018-05-19T13:45:00Z</dcterms:created>
  <dcterms:modified xsi:type="dcterms:W3CDTF">2018-05-19T19:27:00Z</dcterms:modified>
</cp:coreProperties>
</file>