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E73DEC">
      <w:bookmarkStart w:id="0" w:name="_GoBack"/>
      <w:r>
        <w:t>A1341-ME-</w:t>
      </w:r>
      <w:r w:rsidR="00DD6E7E" w:rsidRPr="00DD6E7E">
        <w:rPr>
          <w:noProof/>
        </w:rPr>
        <w:t xml:space="preserve"> </w:t>
      </w:r>
      <w:r w:rsidR="00DD6E7E">
        <w:rPr>
          <w:noProof/>
        </w:rPr>
        <w:t>Canaanite-Byblos-</w:t>
      </w:r>
      <w:r w:rsidR="00DD6E7E">
        <w:t xml:space="preserve">Temple aux </w:t>
      </w:r>
      <w:proofErr w:type="spellStart"/>
      <w:r w:rsidR="00DD6E7E">
        <w:t>Obélisques</w:t>
      </w:r>
      <w:proofErr w:type="spellEnd"/>
      <w:r w:rsidR="00DD6E7E">
        <w:t>-</w:t>
      </w:r>
      <w:r w:rsidR="00DD6E7E" w:rsidRPr="00E73DEC">
        <w:t>Late Bronze Age</w:t>
      </w:r>
      <w:r w:rsidR="00DD6E7E">
        <w:t>-</w:t>
      </w:r>
      <w:r w:rsidR="00DD6E7E" w:rsidRPr="00E73DEC">
        <w:t>1550-1200 BC</w:t>
      </w:r>
      <w:r w:rsidR="00DD6E7E">
        <w:t>E</w:t>
      </w:r>
    </w:p>
    <w:bookmarkEnd w:id="0"/>
    <w:p w:rsidR="00E73DEC" w:rsidRDefault="00E73DEC" w:rsidP="00C6041D">
      <w:pPr>
        <w:spacing w:after="0"/>
        <w:rPr>
          <w:noProof/>
        </w:rPr>
      </w:pPr>
      <w:r>
        <w:rPr>
          <w:noProof/>
        </w:rPr>
        <w:drawing>
          <wp:inline distT="0" distB="0" distL="0" distR="0" wp14:anchorId="4FEA4818" wp14:editId="09128495">
            <wp:extent cx="1270095" cy="47275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73969" cy="4741996"/>
                    </a:xfrm>
                    <a:prstGeom prst="rect">
                      <a:avLst/>
                    </a:prstGeom>
                  </pic:spPr>
                </pic:pic>
              </a:graphicData>
            </a:graphic>
          </wp:inline>
        </w:drawing>
      </w:r>
      <w:r w:rsidRPr="00E73DEC">
        <w:rPr>
          <w:noProof/>
        </w:rPr>
        <w:t xml:space="preserve"> </w:t>
      </w:r>
      <w:r>
        <w:rPr>
          <w:noProof/>
        </w:rPr>
        <w:drawing>
          <wp:inline distT="0" distB="0" distL="0" distR="0" wp14:anchorId="0FBFABF0" wp14:editId="56FBFDCD">
            <wp:extent cx="1343025" cy="4705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3025" cy="4705350"/>
                    </a:xfrm>
                    <a:prstGeom prst="rect">
                      <a:avLst/>
                    </a:prstGeom>
                  </pic:spPr>
                </pic:pic>
              </a:graphicData>
            </a:graphic>
          </wp:inline>
        </w:drawing>
      </w:r>
      <w:r w:rsidRPr="00E73DEC">
        <w:rPr>
          <w:noProof/>
        </w:rPr>
        <w:t xml:space="preserve"> </w:t>
      </w:r>
      <w:r>
        <w:rPr>
          <w:noProof/>
        </w:rPr>
        <w:drawing>
          <wp:inline distT="0" distB="0" distL="0" distR="0" wp14:anchorId="134590BD" wp14:editId="324A9CA3">
            <wp:extent cx="2177410" cy="474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2647" cy="4758040"/>
                    </a:xfrm>
                    <a:prstGeom prst="rect">
                      <a:avLst/>
                    </a:prstGeom>
                  </pic:spPr>
                </pic:pic>
              </a:graphicData>
            </a:graphic>
          </wp:inline>
        </w:drawing>
      </w:r>
      <w:r w:rsidR="00C6041D" w:rsidRPr="00C6041D">
        <w:rPr>
          <w:noProof/>
        </w:rPr>
        <w:t xml:space="preserve"> </w:t>
      </w:r>
      <w:r w:rsidR="00853D6E">
        <w:rPr>
          <w:noProof/>
        </w:rPr>
        <w:drawing>
          <wp:inline distT="0" distB="0" distL="0" distR="0" wp14:anchorId="4762C61C" wp14:editId="2B157303">
            <wp:extent cx="920750" cy="47217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37664" cy="4808526"/>
                    </a:xfrm>
                    <a:prstGeom prst="rect">
                      <a:avLst/>
                    </a:prstGeom>
                  </pic:spPr>
                </pic:pic>
              </a:graphicData>
            </a:graphic>
          </wp:inline>
        </w:drawing>
      </w:r>
    </w:p>
    <w:p w:rsidR="00E73DEC" w:rsidRPr="00A60F0F" w:rsidRDefault="00E73DEC" w:rsidP="00C6041D">
      <w:pPr>
        <w:spacing w:after="0"/>
      </w:pPr>
      <w:r w:rsidRPr="00A60F0F">
        <w:rPr>
          <w:noProof/>
        </w:rPr>
        <w:t xml:space="preserve">Figs. 1-3. </w:t>
      </w:r>
      <w:r w:rsidR="00DD6E7E" w:rsidRPr="00A60F0F">
        <w:rPr>
          <w:noProof/>
        </w:rPr>
        <w:t>Canaanite-</w:t>
      </w:r>
      <w:r w:rsidR="000835AF" w:rsidRPr="00A60F0F">
        <w:rPr>
          <w:noProof/>
        </w:rPr>
        <w:t>Byblos-</w:t>
      </w:r>
      <w:r w:rsidR="00DD6E7E" w:rsidRPr="00A60F0F">
        <w:t xml:space="preserve">Temple aux </w:t>
      </w:r>
      <w:proofErr w:type="spellStart"/>
      <w:r w:rsidR="00DD6E7E" w:rsidRPr="00A60F0F">
        <w:t>Obélisques</w:t>
      </w:r>
      <w:proofErr w:type="spellEnd"/>
      <w:r w:rsidR="00DD6E7E" w:rsidRPr="00A60F0F">
        <w:t>-</w:t>
      </w:r>
      <w:r w:rsidRPr="00A60F0F">
        <w:t>Late Bronze Age</w:t>
      </w:r>
      <w:r w:rsidR="00DD6E7E" w:rsidRPr="00A60F0F">
        <w:t>-</w:t>
      </w:r>
      <w:r w:rsidRPr="00A60F0F">
        <w:t>1550-1200 BCE</w:t>
      </w:r>
    </w:p>
    <w:p w:rsidR="00C6041D" w:rsidRPr="00A60F0F" w:rsidRDefault="00C6041D" w:rsidP="00C6041D">
      <w:pPr>
        <w:spacing w:after="0"/>
        <w:rPr>
          <w:b/>
          <w:bCs/>
        </w:rPr>
      </w:pPr>
      <w:r w:rsidRPr="00A60F0F">
        <w:t xml:space="preserve">Fig. 4. </w:t>
      </w:r>
      <w:r w:rsidRPr="00A60F0F">
        <w:rPr>
          <w:noProof/>
        </w:rPr>
        <w:t>Canaanite-Byblos-</w:t>
      </w:r>
      <w:r w:rsidRPr="00A60F0F">
        <w:t xml:space="preserve">Temple aux </w:t>
      </w:r>
      <w:proofErr w:type="spellStart"/>
      <w:r w:rsidRPr="00A60F0F">
        <w:t>Obélisques</w:t>
      </w:r>
      <w:proofErr w:type="spellEnd"/>
      <w:r w:rsidRPr="00A60F0F">
        <w:t>-Late Bronze Age-1550-1200 BCE</w:t>
      </w:r>
      <w:r w:rsidRPr="00A60F0F">
        <w:t xml:space="preserve"> after </w:t>
      </w:r>
      <w:proofErr w:type="spellStart"/>
      <w:r w:rsidRPr="00A60F0F">
        <w:rPr>
          <w:rStyle w:val="Strong"/>
          <w:b w:val="0"/>
        </w:rPr>
        <w:t>Negbi</w:t>
      </w:r>
      <w:proofErr w:type="spellEnd"/>
      <w:r w:rsidRPr="00A60F0F">
        <w:rPr>
          <w:rStyle w:val="Strong"/>
          <w:b w:val="0"/>
        </w:rPr>
        <w:t xml:space="preserve"> 1976, p. 22, fig. 29, no. 530.</w:t>
      </w:r>
    </w:p>
    <w:p w:rsidR="00E73DEC" w:rsidRPr="00A60F0F" w:rsidRDefault="00E73DEC" w:rsidP="00A41F48">
      <w:pPr>
        <w:spacing w:after="0"/>
        <w:rPr>
          <w:rStyle w:val="Strong"/>
        </w:rPr>
      </w:pPr>
      <w:r w:rsidRPr="00A60F0F">
        <w:rPr>
          <w:rStyle w:val="Strong"/>
        </w:rPr>
        <w:t>Case no.:</w:t>
      </w:r>
      <w:r w:rsidR="004B4809" w:rsidRPr="00A60F0F">
        <w:rPr>
          <w:rStyle w:val="Strong"/>
        </w:rPr>
        <w:t xml:space="preserve"> 3</w:t>
      </w:r>
    </w:p>
    <w:p w:rsidR="00E73DEC" w:rsidRPr="00A60F0F" w:rsidRDefault="00E73DEC" w:rsidP="00A41F48">
      <w:pPr>
        <w:spacing w:after="0"/>
        <w:rPr>
          <w:rStyle w:val="Strong"/>
          <w:b w:val="0"/>
        </w:rPr>
      </w:pPr>
      <w:r w:rsidRPr="00A60F0F">
        <w:rPr>
          <w:rStyle w:val="Strong"/>
        </w:rPr>
        <w:t>Accession Number:</w:t>
      </w:r>
      <w:r w:rsidR="004B4809" w:rsidRPr="00A60F0F">
        <w:rPr>
          <w:rStyle w:val="Strong"/>
        </w:rPr>
        <w:t xml:space="preserve"> </w:t>
      </w:r>
      <w:r w:rsidR="004B4809" w:rsidRPr="00A60F0F">
        <w:rPr>
          <w:rStyle w:val="Strong"/>
          <w:b w:val="0"/>
        </w:rPr>
        <w:t>A1341</w:t>
      </w:r>
    </w:p>
    <w:p w:rsidR="00E73DEC" w:rsidRPr="00A60F0F" w:rsidRDefault="00E73DEC" w:rsidP="00A41F48">
      <w:pPr>
        <w:spacing w:after="0"/>
        <w:rPr>
          <w:b/>
          <w:bCs/>
        </w:rPr>
      </w:pPr>
      <w:r w:rsidRPr="00A60F0F">
        <w:rPr>
          <w:rStyle w:val="Strong"/>
        </w:rPr>
        <w:t>Formal Label:</w:t>
      </w:r>
      <w:r w:rsidRPr="00A60F0F">
        <w:rPr>
          <w:rStyle w:val="Strong"/>
        </w:rPr>
        <w:t xml:space="preserve"> </w:t>
      </w:r>
      <w:r w:rsidR="00DD6E7E" w:rsidRPr="00A60F0F">
        <w:rPr>
          <w:noProof/>
        </w:rPr>
        <w:t>Canaanite-Byblos-</w:t>
      </w:r>
      <w:r w:rsidR="00DD6E7E" w:rsidRPr="00A60F0F">
        <w:t xml:space="preserve">Temple aux </w:t>
      </w:r>
      <w:proofErr w:type="spellStart"/>
      <w:r w:rsidR="00DD6E7E" w:rsidRPr="00A60F0F">
        <w:t>Obélisques</w:t>
      </w:r>
      <w:proofErr w:type="spellEnd"/>
      <w:r w:rsidR="00DD6E7E" w:rsidRPr="00A60F0F">
        <w:t>-Late Bronze Age-1550-1200 BCE</w:t>
      </w:r>
      <w:r w:rsidR="00DD6E7E" w:rsidRPr="00A60F0F">
        <w:rPr>
          <w:b/>
          <w:bCs/>
        </w:rPr>
        <w:t xml:space="preserve"> </w:t>
      </w:r>
      <w:r w:rsidRPr="00A60F0F">
        <w:rPr>
          <w:b/>
          <w:bCs/>
        </w:rPr>
        <w:t>Display Description:</w:t>
      </w:r>
    </w:p>
    <w:p w:rsidR="00A41F48" w:rsidRPr="00A60F0F" w:rsidRDefault="00A41F48" w:rsidP="00A41F48">
      <w:pPr>
        <w:shd w:val="clear" w:color="auto" w:fill="F3F2F0"/>
        <w:spacing w:after="0" w:line="240" w:lineRule="auto"/>
        <w:jc w:val="both"/>
        <w:rPr>
          <w:rFonts w:eastAsia="Times New Roman"/>
          <w:color w:val="333333"/>
        </w:rPr>
      </w:pPr>
      <w:r w:rsidRPr="00A60F0F">
        <w:rPr>
          <w:rFonts w:eastAsia="Times New Roman"/>
          <w:color w:val="333333"/>
        </w:rPr>
        <w:tab/>
      </w:r>
      <w:r w:rsidRPr="00A60F0F">
        <w:rPr>
          <w:rFonts w:eastAsia="Times New Roman"/>
          <w:color w:val="333333"/>
        </w:rPr>
        <w:t>This</w:t>
      </w:r>
      <w:r w:rsidR="004A71A5" w:rsidRPr="00A60F0F">
        <w:rPr>
          <w:rFonts w:eastAsia="Times New Roman"/>
          <w:color w:val="333333"/>
        </w:rPr>
        <w:t xml:space="preserve"> bronze</w:t>
      </w:r>
      <w:r w:rsidRPr="00E73DEC">
        <w:rPr>
          <w:rFonts w:eastAsia="Times New Roman"/>
          <w:color w:val="333333"/>
        </w:rPr>
        <w:t xml:space="preserve"> statuette </w:t>
      </w:r>
      <w:r w:rsidRPr="00A60F0F">
        <w:rPr>
          <w:rFonts w:eastAsia="Times New Roman"/>
          <w:color w:val="333333"/>
        </w:rPr>
        <w:t>is s</w:t>
      </w:r>
      <w:r w:rsidRPr="00E73DEC">
        <w:rPr>
          <w:rFonts w:eastAsia="Times New Roman"/>
          <w:color w:val="333333"/>
        </w:rPr>
        <w:t xml:space="preserve">olid-cast, standing with feet </w:t>
      </w:r>
      <w:r w:rsidR="001B120D" w:rsidRPr="00A60F0F">
        <w:rPr>
          <w:rFonts w:eastAsia="Times New Roman"/>
          <w:color w:val="333333"/>
        </w:rPr>
        <w:t>apart</w:t>
      </w:r>
      <w:r w:rsidRPr="00A60F0F">
        <w:rPr>
          <w:rFonts w:eastAsia="Times New Roman"/>
          <w:color w:val="333333"/>
        </w:rPr>
        <w:t xml:space="preserve"> ending in a platform.</w:t>
      </w:r>
      <w:r w:rsidRPr="00E73DEC">
        <w:rPr>
          <w:rFonts w:eastAsia="Times New Roman"/>
          <w:color w:val="333333"/>
        </w:rPr>
        <w:t xml:space="preserve"> </w:t>
      </w:r>
      <w:r w:rsidRPr="00A60F0F">
        <w:rPr>
          <w:rFonts w:eastAsia="Times New Roman"/>
          <w:color w:val="333333"/>
        </w:rPr>
        <w:t>B</w:t>
      </w:r>
      <w:r w:rsidRPr="00E73DEC">
        <w:rPr>
          <w:rFonts w:eastAsia="Times New Roman"/>
          <w:color w:val="333333"/>
        </w:rPr>
        <w:t xml:space="preserve">oth arms </w:t>
      </w:r>
      <w:r w:rsidRPr="00A60F0F">
        <w:rPr>
          <w:rFonts w:eastAsia="Times New Roman"/>
          <w:color w:val="333333"/>
        </w:rPr>
        <w:t>are unbent</w:t>
      </w:r>
      <w:r w:rsidR="001B120D" w:rsidRPr="00A60F0F">
        <w:rPr>
          <w:rFonts w:eastAsia="Times New Roman"/>
          <w:color w:val="333333"/>
        </w:rPr>
        <w:t xml:space="preserve"> ending in </w:t>
      </w:r>
      <w:proofErr w:type="spellStart"/>
      <w:r w:rsidR="001B120D" w:rsidRPr="00A60F0F">
        <w:rPr>
          <w:rFonts w:eastAsia="Times New Roman"/>
          <w:color w:val="333333"/>
        </w:rPr>
        <w:t>unsculpted</w:t>
      </w:r>
      <w:proofErr w:type="spellEnd"/>
      <w:r w:rsidR="001B120D" w:rsidRPr="00A60F0F">
        <w:rPr>
          <w:rFonts w:eastAsia="Times New Roman"/>
          <w:color w:val="333333"/>
        </w:rPr>
        <w:t xml:space="preserve"> hands.</w:t>
      </w:r>
      <w:r w:rsidRPr="00A60F0F">
        <w:rPr>
          <w:rFonts w:eastAsia="Times New Roman"/>
          <w:color w:val="333333"/>
        </w:rPr>
        <w:t xml:space="preserve"> </w:t>
      </w:r>
      <w:r w:rsidR="001B120D" w:rsidRPr="00A60F0F">
        <w:rPr>
          <w:rFonts w:eastAsia="Times New Roman"/>
          <w:color w:val="333333"/>
        </w:rPr>
        <w:t>T</w:t>
      </w:r>
      <w:r w:rsidRPr="00A60F0F">
        <w:rPr>
          <w:rFonts w:eastAsia="Times New Roman"/>
          <w:color w:val="333333"/>
        </w:rPr>
        <w:t>here are</w:t>
      </w:r>
      <w:r w:rsidRPr="00E73DEC">
        <w:rPr>
          <w:rFonts w:eastAsia="Times New Roman"/>
          <w:color w:val="333333"/>
        </w:rPr>
        <w:t xml:space="preserve"> </w:t>
      </w:r>
      <w:r w:rsidRPr="00A60F0F">
        <w:rPr>
          <w:rFonts w:eastAsia="Times New Roman"/>
          <w:color w:val="333333"/>
        </w:rPr>
        <w:t xml:space="preserve">no </w:t>
      </w:r>
      <w:r w:rsidRPr="00E73DEC">
        <w:rPr>
          <w:rFonts w:eastAsia="Times New Roman"/>
          <w:color w:val="333333"/>
        </w:rPr>
        <w:t>missing weapons and attributes</w:t>
      </w:r>
      <w:r w:rsidRPr="00A60F0F">
        <w:rPr>
          <w:rFonts w:eastAsia="Times New Roman"/>
          <w:color w:val="333333"/>
        </w:rPr>
        <w:t>. H</w:t>
      </w:r>
      <w:r w:rsidRPr="00E73DEC">
        <w:rPr>
          <w:rFonts w:eastAsia="Times New Roman"/>
          <w:color w:val="333333"/>
        </w:rPr>
        <w:t xml:space="preserve">is face </w:t>
      </w:r>
      <w:r w:rsidRPr="00A60F0F">
        <w:rPr>
          <w:rFonts w:eastAsia="Times New Roman"/>
          <w:color w:val="333333"/>
        </w:rPr>
        <w:t>has</w:t>
      </w:r>
      <w:r w:rsidRPr="00E73DEC">
        <w:rPr>
          <w:rFonts w:eastAsia="Times New Roman"/>
          <w:color w:val="333333"/>
        </w:rPr>
        <w:t xml:space="preserve"> </w:t>
      </w:r>
      <w:r w:rsidRPr="00A60F0F">
        <w:rPr>
          <w:rFonts w:eastAsia="Times New Roman"/>
          <w:color w:val="333333"/>
        </w:rPr>
        <w:t>pinched</w:t>
      </w:r>
      <w:r w:rsidRPr="00E73DEC">
        <w:rPr>
          <w:rFonts w:eastAsia="Times New Roman"/>
          <w:color w:val="333333"/>
        </w:rPr>
        <w:t xml:space="preserve"> eyes defined by incision, a prominent nose, protruding lips and a </w:t>
      </w:r>
      <w:r w:rsidRPr="00A60F0F">
        <w:rPr>
          <w:rFonts w:eastAsia="Times New Roman"/>
          <w:color w:val="333333"/>
        </w:rPr>
        <w:t>rounded</w:t>
      </w:r>
      <w:r w:rsidRPr="00E73DEC">
        <w:rPr>
          <w:rFonts w:eastAsia="Times New Roman"/>
          <w:color w:val="333333"/>
        </w:rPr>
        <w:t xml:space="preserve"> chin</w:t>
      </w:r>
      <w:r w:rsidRPr="00A60F0F">
        <w:rPr>
          <w:rFonts w:eastAsia="Times New Roman"/>
          <w:color w:val="333333"/>
        </w:rPr>
        <w:t xml:space="preserve">. Ears are </w:t>
      </w:r>
      <w:r w:rsidR="000835AF" w:rsidRPr="00A60F0F">
        <w:rPr>
          <w:rFonts w:eastAsia="Times New Roman"/>
          <w:color w:val="333333"/>
        </w:rPr>
        <w:t>not shown</w:t>
      </w:r>
      <w:r w:rsidRPr="00E73DEC">
        <w:rPr>
          <w:rFonts w:eastAsia="Times New Roman"/>
          <w:color w:val="333333"/>
        </w:rPr>
        <w:t xml:space="preserve">. </w:t>
      </w:r>
    </w:p>
    <w:p w:rsidR="004B4809" w:rsidRPr="00A60F0F" w:rsidRDefault="004A71A5" w:rsidP="00A41F48">
      <w:pPr>
        <w:shd w:val="clear" w:color="auto" w:fill="F3F2F0"/>
        <w:spacing w:after="0" w:line="240" w:lineRule="auto"/>
        <w:jc w:val="both"/>
        <w:rPr>
          <w:rFonts w:eastAsia="Times New Roman"/>
          <w:color w:val="333333"/>
        </w:rPr>
      </w:pPr>
      <w:r w:rsidRPr="00A60F0F">
        <w:rPr>
          <w:rFonts w:eastAsia="Times New Roman"/>
          <w:color w:val="333333"/>
        </w:rPr>
        <w:tab/>
      </w:r>
      <w:r w:rsidRPr="00A60F0F">
        <w:rPr>
          <w:rFonts w:eastAsia="Times New Roman"/>
          <w:color w:val="333333"/>
        </w:rPr>
        <w:t>The figure is</w:t>
      </w:r>
      <w:r w:rsidRPr="00E73DEC">
        <w:rPr>
          <w:rFonts w:eastAsia="Times New Roman"/>
          <w:color w:val="333333"/>
        </w:rPr>
        <w:t xml:space="preserve"> wearing </w:t>
      </w:r>
      <w:r w:rsidRPr="00A60F0F">
        <w:rPr>
          <w:rFonts w:eastAsia="Times New Roman"/>
          <w:color w:val="333333"/>
        </w:rPr>
        <w:t>the white crown of Upper Egypt</w:t>
      </w:r>
      <w:r w:rsidRPr="00E73DEC">
        <w:rPr>
          <w:rFonts w:eastAsia="Times New Roman"/>
          <w:color w:val="333333"/>
        </w:rPr>
        <w:t xml:space="preserve"> </w:t>
      </w:r>
      <w:r w:rsidRPr="00A60F0F">
        <w:rPr>
          <w:rFonts w:eastAsia="Times New Roman"/>
          <w:color w:val="333333"/>
        </w:rPr>
        <w:t xml:space="preserve">and a short </w:t>
      </w:r>
      <w:r w:rsidR="00C6041D" w:rsidRPr="00A60F0F">
        <w:rPr>
          <w:rFonts w:eastAsia="Times New Roman"/>
          <w:color w:val="333333"/>
        </w:rPr>
        <w:t>kilt</w:t>
      </w:r>
      <w:r w:rsidRPr="00A60F0F">
        <w:rPr>
          <w:rFonts w:eastAsia="Times New Roman"/>
          <w:color w:val="333333"/>
        </w:rPr>
        <w:t xml:space="preserve"> and belongs to the </w:t>
      </w:r>
      <w:proofErr w:type="spellStart"/>
      <w:r w:rsidRPr="00A60F0F">
        <w:rPr>
          <w:rFonts w:eastAsia="Times New Roman"/>
          <w:color w:val="333333"/>
        </w:rPr>
        <w:t>Byblo</w:t>
      </w:r>
      <w:proofErr w:type="spellEnd"/>
      <w:r w:rsidRPr="00A60F0F">
        <w:rPr>
          <w:rFonts w:eastAsia="Times New Roman"/>
          <w:color w:val="333333"/>
        </w:rPr>
        <w:t xml:space="preserve">-Egyptian Group that contains nearly 700 specimens from Byblos, all with high headgear reminiscent of a set of joined figurines from Byblos and also similar to several </w:t>
      </w:r>
      <w:proofErr w:type="spellStart"/>
      <w:r w:rsidRPr="00A60F0F">
        <w:rPr>
          <w:rFonts w:eastAsia="Times New Roman"/>
          <w:color w:val="333333"/>
        </w:rPr>
        <w:t>Syro</w:t>
      </w:r>
      <w:proofErr w:type="spellEnd"/>
      <w:r w:rsidRPr="00A60F0F">
        <w:rPr>
          <w:rFonts w:eastAsia="Times New Roman"/>
          <w:color w:val="333333"/>
        </w:rPr>
        <w:t>-Phoenician figurines. The finest figurines of this group recall the Egyptian kings wearing the ‘white’ crown of Upper Egypt as portrayed in wooden statuettes of the 12</w:t>
      </w:r>
      <w:r w:rsidRPr="00A60F0F">
        <w:rPr>
          <w:rFonts w:eastAsia="Times New Roman"/>
          <w:color w:val="333333"/>
          <w:vertAlign w:val="superscript"/>
        </w:rPr>
        <w:t>th</w:t>
      </w:r>
      <w:r w:rsidRPr="00A60F0F">
        <w:rPr>
          <w:rFonts w:eastAsia="Times New Roman"/>
          <w:color w:val="333333"/>
        </w:rPr>
        <w:t xml:space="preserve"> Dynasty (Kenyon 1966:50; Hansen 1969: 281). </w:t>
      </w:r>
      <w:r w:rsidR="00A41F48" w:rsidRPr="00E73DEC">
        <w:rPr>
          <w:rFonts w:eastAsia="Times New Roman"/>
          <w:color w:val="333333"/>
        </w:rPr>
        <w:t xml:space="preserve"> </w:t>
      </w:r>
    </w:p>
    <w:p w:rsidR="00E73DEC" w:rsidRPr="00A60F0F" w:rsidRDefault="00E73DEC" w:rsidP="00E73DEC">
      <w:pPr>
        <w:spacing w:after="0"/>
        <w:rPr>
          <w:b/>
          <w:bCs/>
        </w:rPr>
      </w:pPr>
      <w:r w:rsidRPr="00A60F0F">
        <w:rPr>
          <w:b/>
          <w:bCs/>
        </w:rPr>
        <w:t>LC Classification:</w:t>
      </w:r>
      <w:r w:rsidR="00DD6E7E" w:rsidRPr="00A60F0F">
        <w:rPr>
          <w:b/>
          <w:bCs/>
        </w:rPr>
        <w:t xml:space="preserve"> </w:t>
      </w:r>
      <w:r w:rsidR="00DD6E7E" w:rsidRPr="00A60F0F">
        <w:t>DS121.4</w:t>
      </w:r>
    </w:p>
    <w:p w:rsidR="00E73DEC" w:rsidRPr="00A60F0F" w:rsidRDefault="00E73DEC" w:rsidP="00E73DEC">
      <w:pPr>
        <w:spacing w:after="0"/>
      </w:pPr>
      <w:r w:rsidRPr="00A60F0F">
        <w:rPr>
          <w:rStyle w:val="Strong"/>
        </w:rPr>
        <w:t>Date or Time Horizon:</w:t>
      </w:r>
      <w:r w:rsidRPr="00A60F0F">
        <w:t xml:space="preserve"> </w:t>
      </w:r>
      <w:r w:rsidR="00DD6E7E" w:rsidRPr="00A60F0F">
        <w:t>Late Bronze Age-1550-1200 BCE</w:t>
      </w:r>
    </w:p>
    <w:p w:rsidR="00E73DEC" w:rsidRPr="00A60F0F" w:rsidRDefault="00E73DEC" w:rsidP="00E73DEC">
      <w:pPr>
        <w:spacing w:after="0"/>
      </w:pPr>
      <w:r w:rsidRPr="00A60F0F">
        <w:rPr>
          <w:rStyle w:val="Strong"/>
        </w:rPr>
        <w:t>Geographical Area:</w:t>
      </w:r>
      <w:r w:rsidRPr="00A60F0F">
        <w:t xml:space="preserve"> </w:t>
      </w:r>
      <w:r w:rsidR="00DD6E7E" w:rsidRPr="00A60F0F">
        <w:rPr>
          <w:noProof/>
        </w:rPr>
        <w:t>Byblos-</w:t>
      </w:r>
      <w:r w:rsidR="00DD6E7E" w:rsidRPr="00A60F0F">
        <w:t xml:space="preserve">Temple aux </w:t>
      </w:r>
      <w:proofErr w:type="spellStart"/>
      <w:r w:rsidR="00DD6E7E" w:rsidRPr="00A60F0F">
        <w:t>Obélisques</w:t>
      </w:r>
      <w:proofErr w:type="spellEnd"/>
    </w:p>
    <w:p w:rsidR="00E73DEC" w:rsidRDefault="00E73DEC" w:rsidP="00E73DEC">
      <w:pPr>
        <w:spacing w:after="0"/>
        <w:rPr>
          <w:color w:val="000000" w:themeColor="text1"/>
        </w:rPr>
      </w:pPr>
      <w:r w:rsidRPr="00A60F0F">
        <w:rPr>
          <w:b/>
        </w:rPr>
        <w:t>Map, GPS coordinates:</w:t>
      </w:r>
      <w:r w:rsidR="00A60F0F">
        <w:rPr>
          <w:b/>
        </w:rPr>
        <w:t xml:space="preserve"> </w:t>
      </w:r>
      <w:hyperlink r:id="rId8" w:history="1">
        <w:r w:rsidR="00D400DE" w:rsidRPr="00D400DE">
          <w:rPr>
            <w:rStyle w:val="Hyperlink"/>
            <w:color w:val="000000" w:themeColor="text1"/>
            <w:u w:val="none"/>
          </w:rPr>
          <w:t>34°07′25″N 35°39′04″E</w:t>
        </w:r>
      </w:hyperlink>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sectPr w:rsidR="001776AB" w:rsidSect="00CB7D05">
          <w:pgSz w:w="12240" w:h="15840"/>
          <w:pgMar w:top="720" w:right="720" w:bottom="720" w:left="720" w:header="720" w:footer="720" w:gutter="0"/>
          <w:cols w:space="720"/>
          <w:docGrid w:linePitch="360"/>
        </w:sectPr>
      </w:pP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noProof/>
        </w:rPr>
        <w:lastRenderedPageBreak/>
        <w:drawing>
          <wp:inline distT="0" distB="0" distL="0" distR="0" wp14:anchorId="2A3EF1DF" wp14:editId="7448A72E">
            <wp:extent cx="3409356" cy="2403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149" cy="2404034"/>
                    </a:xfrm>
                    <a:prstGeom prst="rect">
                      <a:avLst/>
                    </a:prstGeom>
                  </pic:spPr>
                </pic:pic>
              </a:graphicData>
            </a:graphic>
          </wp:inline>
        </w:drawing>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sidRPr="001776AB">
        <w:rPr>
          <w:rFonts w:ascii="Comic Sans MS" w:hAnsi="Comic Sans MS"/>
          <w:color w:val="9E0E40"/>
          <w:sz w:val="20"/>
          <w:szCs w:val="20"/>
        </w:rPr>
        <w:t xml:space="preserve"> </w:t>
      </w:r>
      <w:r>
        <w:rPr>
          <w:rFonts w:ascii="Comic Sans MS" w:hAnsi="Comic Sans MS"/>
          <w:color w:val="9E0E40"/>
          <w:sz w:val="20"/>
          <w:szCs w:val="20"/>
        </w:rPr>
        <w:t>1- City gate (3rd millennium BC)</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2- Primitive rampart (-2500)</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 xml:space="preserve">3- </w:t>
      </w:r>
      <w:proofErr w:type="spellStart"/>
      <w:r>
        <w:rPr>
          <w:rFonts w:ascii="Comic Sans MS" w:hAnsi="Comic Sans MS"/>
          <w:color w:val="9E0E40"/>
          <w:sz w:val="20"/>
          <w:szCs w:val="20"/>
        </w:rPr>
        <w:t>Achaemenid</w:t>
      </w:r>
      <w:proofErr w:type="spellEnd"/>
      <w:r>
        <w:rPr>
          <w:rFonts w:ascii="Comic Sans MS" w:hAnsi="Comic Sans MS"/>
          <w:color w:val="9E0E40"/>
          <w:sz w:val="20"/>
          <w:szCs w:val="20"/>
        </w:rPr>
        <w:t xml:space="preserve"> Podium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4- Fortress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5- Byzantine Mill</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6- Crusader castle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7- Rampart (2nd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 xml:space="preserve">8- Rampart </w:t>
      </w:r>
      <w:proofErr w:type="spellStart"/>
      <w:r>
        <w:rPr>
          <w:rFonts w:ascii="Comic Sans MS" w:hAnsi="Comic Sans MS"/>
          <w:color w:val="9E0E40"/>
          <w:sz w:val="20"/>
          <w:szCs w:val="20"/>
        </w:rPr>
        <w:t>sawtooth</w:t>
      </w:r>
      <w:proofErr w:type="spellEnd"/>
      <w:r>
        <w:rPr>
          <w:rFonts w:ascii="Comic Sans MS" w:hAnsi="Comic Sans MS"/>
          <w:color w:val="9E0E40"/>
          <w:sz w:val="20"/>
          <w:szCs w:val="20"/>
        </w:rPr>
        <w:t xml:space="preserve"> (3th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9- Royal Tombs (2nd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10- Roman Theatre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 xml:space="preserve">11- Temple of </w:t>
      </w:r>
      <w:proofErr w:type="spellStart"/>
      <w:r>
        <w:rPr>
          <w:rFonts w:ascii="Comic Sans MS" w:hAnsi="Comic Sans MS"/>
          <w:color w:val="9E0E40"/>
          <w:sz w:val="20"/>
          <w:szCs w:val="20"/>
        </w:rPr>
        <w:t>Baalat-Gebal</w:t>
      </w:r>
      <w:proofErr w:type="spellEnd"/>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12- Sacred pond &amp; basins terracotta</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13- L Temple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14- Obelisks Temple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15- Enclosure &amp; pre-urban houses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16- Great residence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17- Neolithic houses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18- Fountain</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19- Amorite Quarry</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20- Pre-</w:t>
      </w:r>
      <w:proofErr w:type="spellStart"/>
      <w:r>
        <w:rPr>
          <w:rFonts w:ascii="Comic Sans MS" w:hAnsi="Comic Sans MS"/>
          <w:i/>
          <w:iCs/>
          <w:color w:val="FF0000"/>
          <w:sz w:val="20"/>
          <w:szCs w:val="20"/>
        </w:rPr>
        <w:t>amorite</w:t>
      </w:r>
      <w:proofErr w:type="spellEnd"/>
      <w:r>
        <w:rPr>
          <w:rFonts w:ascii="Comic Sans MS" w:hAnsi="Comic Sans MS"/>
          <w:i/>
          <w:iCs/>
          <w:color w:val="FF0000"/>
          <w:sz w:val="20"/>
          <w:szCs w:val="20"/>
        </w:rPr>
        <w:t xml:space="preserve"> residence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21- Contemporary house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22- Port</w:t>
      </w:r>
    </w:p>
    <w:p w:rsidR="001776AB" w:rsidRPr="00A60F0F" w:rsidRDefault="001776AB" w:rsidP="00E73DEC">
      <w:pPr>
        <w:spacing w:after="0"/>
        <w:rPr>
          <w:b/>
        </w:rPr>
      </w:pPr>
    </w:p>
    <w:p w:rsidR="001776AB" w:rsidRDefault="001776AB" w:rsidP="00E73DEC">
      <w:pPr>
        <w:spacing w:after="0"/>
        <w:sectPr w:rsidR="001776AB" w:rsidSect="001776AB">
          <w:type w:val="continuous"/>
          <w:pgSz w:w="12240" w:h="15840"/>
          <w:pgMar w:top="720" w:right="720" w:bottom="720" w:left="720" w:header="720" w:footer="720" w:gutter="0"/>
          <w:cols w:num="3" w:space="720"/>
          <w:docGrid w:linePitch="360"/>
        </w:sectPr>
      </w:pPr>
    </w:p>
    <w:p w:rsidR="00E95E4F" w:rsidRPr="00A60F0F" w:rsidRDefault="00CB7D05" w:rsidP="00E73DEC">
      <w:pPr>
        <w:spacing w:after="0"/>
        <w:rPr>
          <w:b/>
        </w:rPr>
      </w:pPr>
      <w:r w:rsidRPr="00A60F0F">
        <w:rPr>
          <w:noProof/>
        </w:rPr>
        <w:drawing>
          <wp:inline distT="0" distB="0" distL="0" distR="0" wp14:anchorId="65F5ED22" wp14:editId="0F2CFF17">
            <wp:extent cx="2638355"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5571" cy="2279517"/>
                    </a:xfrm>
                    <a:prstGeom prst="rect">
                      <a:avLst/>
                    </a:prstGeom>
                  </pic:spPr>
                </pic:pic>
              </a:graphicData>
            </a:graphic>
          </wp:inline>
        </w:drawing>
      </w:r>
      <w:r w:rsidRPr="00A60F0F">
        <w:t xml:space="preserve"> </w:t>
      </w:r>
      <w:r w:rsidRPr="00A60F0F">
        <w:rPr>
          <w:noProof/>
        </w:rPr>
        <w:drawing>
          <wp:inline distT="0" distB="0" distL="0" distR="0">
            <wp:extent cx="3271183" cy="2185035"/>
            <wp:effectExtent l="0" t="0" r="5715" b="5715"/>
            <wp:docPr id="7" name="Picture 7" descr="Image result for byblos temple auxiliary obel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yblos temple auxiliary obelisqu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09" cy="2195406"/>
                    </a:xfrm>
                    <a:prstGeom prst="rect">
                      <a:avLst/>
                    </a:prstGeom>
                    <a:noFill/>
                    <a:ln>
                      <a:noFill/>
                    </a:ln>
                  </pic:spPr>
                </pic:pic>
              </a:graphicData>
            </a:graphic>
          </wp:inline>
        </w:drawing>
      </w:r>
    </w:p>
    <w:p w:rsidR="00E95E4F" w:rsidRPr="00A60F0F" w:rsidRDefault="00CB7D05" w:rsidP="00E73DEC">
      <w:pPr>
        <w:spacing w:after="0"/>
      </w:pPr>
      <w:r w:rsidRPr="00A60F0F">
        <w:rPr>
          <w:noProof/>
        </w:rPr>
        <w:t xml:space="preserve">Fig. 5. </w:t>
      </w:r>
      <w:r w:rsidR="00E95E4F" w:rsidRPr="00A60F0F">
        <w:rPr>
          <w:noProof/>
        </w:rPr>
        <w:t>Byblos-</w:t>
      </w:r>
      <w:r w:rsidR="00E95E4F" w:rsidRPr="00A60F0F">
        <w:t xml:space="preserve">Temple aux </w:t>
      </w:r>
      <w:proofErr w:type="spellStart"/>
      <w:r w:rsidR="00E95E4F" w:rsidRPr="00A60F0F">
        <w:t>Obélisques</w:t>
      </w:r>
      <w:proofErr w:type="spellEnd"/>
      <w:r w:rsidR="00E95E4F" w:rsidRPr="00A60F0F">
        <w:rPr>
          <w:b/>
        </w:rPr>
        <w:t xml:space="preserve"> </w:t>
      </w:r>
      <w:r w:rsidR="00E95E4F" w:rsidRPr="00A60F0F">
        <w:t xml:space="preserve">from </w:t>
      </w:r>
      <w:hyperlink r:id="rId12" w:history="1">
        <w:r w:rsidRPr="00A60F0F">
          <w:rPr>
            <w:rStyle w:val="Hyperlink"/>
          </w:rPr>
          <w:t>http://anabases.revues.org/docannexe/image/849/img-8-small580.png</w:t>
        </w:r>
      </w:hyperlink>
      <w:r w:rsidR="00E95E4F" w:rsidRPr="00A60F0F">
        <w:t>.</w:t>
      </w:r>
    </w:p>
    <w:p w:rsidR="00CB7D05" w:rsidRPr="00A60F0F" w:rsidRDefault="00CB7D05" w:rsidP="00E73DEC">
      <w:pPr>
        <w:spacing w:after="0"/>
        <w:rPr>
          <w:b/>
        </w:rPr>
      </w:pPr>
      <w:r w:rsidRPr="00A60F0F">
        <w:t xml:space="preserve">Fig. 6. </w:t>
      </w:r>
      <w:r w:rsidRPr="00A60F0F">
        <w:rPr>
          <w:noProof/>
        </w:rPr>
        <w:t>Byblos-</w:t>
      </w:r>
      <w:r w:rsidRPr="00A60F0F">
        <w:t xml:space="preserve">Temple aux </w:t>
      </w:r>
      <w:proofErr w:type="spellStart"/>
      <w:r w:rsidRPr="00A60F0F">
        <w:t>Obélisques</w:t>
      </w:r>
      <w:proofErr w:type="spellEnd"/>
      <w:r w:rsidRPr="00A60F0F">
        <w:rPr>
          <w:b/>
        </w:rPr>
        <w:t xml:space="preserve"> </w:t>
      </w:r>
      <w:r w:rsidRPr="00A60F0F">
        <w:t>from</w:t>
      </w:r>
      <w:r w:rsidRPr="00A60F0F">
        <w:t xml:space="preserve"> http://antikforever.com/Syrie-Palestine/Phenicien%20Cananeen/Images/byblos14b.jpg</w:t>
      </w:r>
    </w:p>
    <w:p w:rsidR="00E73DEC" w:rsidRPr="00A60F0F" w:rsidRDefault="00E73DEC" w:rsidP="00E73DEC">
      <w:pPr>
        <w:spacing w:after="0"/>
      </w:pPr>
      <w:r w:rsidRPr="00A60F0F">
        <w:rPr>
          <w:rStyle w:val="Strong"/>
        </w:rPr>
        <w:t>Cultural Affiliation:</w:t>
      </w:r>
      <w:r w:rsidRPr="00A60F0F">
        <w:t xml:space="preserve"> </w:t>
      </w:r>
      <w:r w:rsidR="00A60F0F">
        <w:t>Canaanite</w:t>
      </w:r>
    </w:p>
    <w:p w:rsidR="000835AF" w:rsidRPr="00A60F0F" w:rsidRDefault="00E73DEC" w:rsidP="00E73DEC">
      <w:pPr>
        <w:spacing w:after="0"/>
      </w:pPr>
      <w:r w:rsidRPr="00A60F0F">
        <w:rPr>
          <w:rStyle w:val="Strong"/>
        </w:rPr>
        <w:t>Media:</w:t>
      </w:r>
      <w:r w:rsidRPr="00A60F0F">
        <w:t xml:space="preserve"> </w:t>
      </w:r>
      <w:r w:rsidR="000835AF" w:rsidRPr="00A60F0F">
        <w:t xml:space="preserve">Bronze. </w:t>
      </w:r>
      <w:r w:rsidR="000835AF" w:rsidRPr="00E73DEC">
        <w:rPr>
          <w:rFonts w:eastAsia="Times New Roman"/>
          <w:color w:val="333333"/>
        </w:rPr>
        <w:t>Item cleaned, waxed and solidified professionally.</w:t>
      </w:r>
    </w:p>
    <w:p w:rsidR="00E73DEC" w:rsidRPr="00A60F0F" w:rsidRDefault="00E73DEC" w:rsidP="00E73DEC">
      <w:pPr>
        <w:spacing w:after="0"/>
        <w:rPr>
          <w:b/>
          <w:bCs/>
        </w:rPr>
      </w:pPr>
      <w:r w:rsidRPr="00A60F0F">
        <w:rPr>
          <w:rStyle w:val="Strong"/>
        </w:rPr>
        <w:t>Dimensions:</w:t>
      </w:r>
      <w:r w:rsidRPr="00A60F0F">
        <w:t xml:space="preserve"> </w:t>
      </w:r>
    </w:p>
    <w:p w:rsidR="00E73DEC" w:rsidRPr="00A60F0F" w:rsidRDefault="00E73DEC" w:rsidP="00E73DEC">
      <w:pPr>
        <w:spacing w:after="0"/>
        <w:rPr>
          <w:rStyle w:val="Strong"/>
        </w:rPr>
      </w:pPr>
      <w:r w:rsidRPr="00A60F0F">
        <w:rPr>
          <w:rStyle w:val="Strong"/>
        </w:rPr>
        <w:t xml:space="preserve">Weight:  </w:t>
      </w:r>
    </w:p>
    <w:p w:rsidR="00E73DEC" w:rsidRPr="00A60F0F" w:rsidRDefault="00E73DEC" w:rsidP="00E73DEC">
      <w:pPr>
        <w:spacing w:after="0"/>
        <w:rPr>
          <w:rStyle w:val="Strong"/>
        </w:rPr>
      </w:pPr>
      <w:r w:rsidRPr="00A60F0F">
        <w:rPr>
          <w:rStyle w:val="Strong"/>
        </w:rPr>
        <w:t>Condition:</w:t>
      </w:r>
      <w:r w:rsidR="000835AF" w:rsidRPr="00A60F0F">
        <w:rPr>
          <w:rStyle w:val="Strong"/>
        </w:rPr>
        <w:t xml:space="preserve"> </w:t>
      </w:r>
      <w:r w:rsidR="000835AF" w:rsidRPr="00A60F0F">
        <w:rPr>
          <w:rStyle w:val="Strong"/>
          <w:b w:val="0"/>
        </w:rPr>
        <w:t xml:space="preserve">original. This statuette is similar to </w:t>
      </w:r>
      <w:r w:rsidR="00C6041D" w:rsidRPr="00A60F0F">
        <w:rPr>
          <w:rStyle w:val="Strong"/>
          <w:b w:val="0"/>
        </w:rPr>
        <w:t>one fro</w:t>
      </w:r>
      <w:r w:rsidR="004A71A5" w:rsidRPr="00A60F0F">
        <w:rPr>
          <w:rStyle w:val="Strong"/>
          <w:b w:val="0"/>
        </w:rPr>
        <w:t xml:space="preserve">m </w:t>
      </w:r>
      <w:r w:rsidR="004A71A5" w:rsidRPr="00A60F0F">
        <w:rPr>
          <w:noProof/>
        </w:rPr>
        <w:t>Byblos-</w:t>
      </w:r>
      <w:r w:rsidR="004A71A5" w:rsidRPr="00A60F0F">
        <w:t xml:space="preserve">Temple aux </w:t>
      </w:r>
      <w:proofErr w:type="spellStart"/>
      <w:r w:rsidR="004A71A5" w:rsidRPr="00A60F0F">
        <w:t>Obélisques</w:t>
      </w:r>
      <w:proofErr w:type="spellEnd"/>
      <w:r w:rsidR="00C6041D" w:rsidRPr="00A60F0F">
        <w:t>, in</w:t>
      </w:r>
      <w:r w:rsidR="004A71A5" w:rsidRPr="00A60F0F">
        <w:rPr>
          <w:rStyle w:val="Strong"/>
          <w:b w:val="0"/>
        </w:rPr>
        <w:t xml:space="preserve"> </w:t>
      </w:r>
      <w:proofErr w:type="spellStart"/>
      <w:r w:rsidR="000835AF" w:rsidRPr="00A60F0F">
        <w:rPr>
          <w:rStyle w:val="Strong"/>
          <w:b w:val="0"/>
        </w:rPr>
        <w:t>Negbi</w:t>
      </w:r>
      <w:proofErr w:type="spellEnd"/>
      <w:r w:rsidR="000835AF" w:rsidRPr="00A60F0F">
        <w:rPr>
          <w:rStyle w:val="Strong"/>
          <w:b w:val="0"/>
        </w:rPr>
        <w:t xml:space="preserve"> 1976, p. 22, fig. 29, no. 530</w:t>
      </w:r>
      <w:r w:rsidR="00DD6E7E" w:rsidRPr="00A60F0F">
        <w:rPr>
          <w:rStyle w:val="Strong"/>
          <w:b w:val="0"/>
        </w:rPr>
        <w:t>.</w:t>
      </w:r>
    </w:p>
    <w:p w:rsidR="00E73DEC" w:rsidRPr="00A60F0F" w:rsidRDefault="00E73DEC" w:rsidP="00E73DEC">
      <w:pPr>
        <w:spacing w:after="0"/>
        <w:rPr>
          <w:b/>
          <w:bCs/>
        </w:rPr>
      </w:pPr>
      <w:r w:rsidRPr="00A60F0F">
        <w:rPr>
          <w:rStyle w:val="Strong"/>
        </w:rPr>
        <w:t>Provenance:</w:t>
      </w:r>
      <w:r w:rsidRPr="00A60F0F">
        <w:t xml:space="preserve"> </w:t>
      </w:r>
      <w:r w:rsidR="00E95E4F" w:rsidRPr="00A60F0F">
        <w:t>procured in Jerusalem, 1960’s.</w:t>
      </w:r>
    </w:p>
    <w:p w:rsidR="00E73DEC" w:rsidRPr="00A60F0F" w:rsidRDefault="00E73DEC" w:rsidP="00E73DEC">
      <w:pPr>
        <w:spacing w:after="0"/>
        <w:rPr>
          <w:b/>
          <w:bCs/>
        </w:rPr>
      </w:pPr>
      <w:r w:rsidRPr="00A60F0F">
        <w:rPr>
          <w:b/>
          <w:bCs/>
        </w:rPr>
        <w:t>Discussion:</w:t>
      </w:r>
    </w:p>
    <w:p w:rsidR="00E95E4F" w:rsidRPr="00A60F0F" w:rsidRDefault="00A60F0F" w:rsidP="00E95E4F">
      <w:pPr>
        <w:shd w:val="clear" w:color="auto" w:fill="F3F2F0"/>
        <w:spacing w:after="0" w:line="240" w:lineRule="auto"/>
        <w:jc w:val="both"/>
        <w:rPr>
          <w:rFonts w:eastAsia="Times New Roman"/>
          <w:color w:val="333333"/>
        </w:rPr>
      </w:pPr>
      <w:r>
        <w:rPr>
          <w:rFonts w:eastAsia="Times New Roman"/>
          <w:color w:val="333333"/>
        </w:rPr>
        <w:tab/>
      </w:r>
      <w:r w:rsidR="00E95E4F" w:rsidRPr="00E73DEC">
        <w:rPr>
          <w:rFonts w:eastAsia="Times New Roman"/>
          <w:color w:val="333333"/>
        </w:rPr>
        <w:t xml:space="preserve">The deity depicted is likely </w:t>
      </w:r>
      <w:proofErr w:type="spellStart"/>
      <w:r w:rsidR="00E95E4F" w:rsidRPr="00E73DEC">
        <w:rPr>
          <w:rFonts w:eastAsia="Times New Roman"/>
          <w:color w:val="333333"/>
        </w:rPr>
        <w:t>Ba</w:t>
      </w:r>
      <w:r w:rsidR="00E95E4F" w:rsidRPr="00A60F0F">
        <w:rPr>
          <w:rFonts w:eastAsia="Times New Roman"/>
          <w:color w:val="333333"/>
        </w:rPr>
        <w:t>‘</w:t>
      </w:r>
      <w:r w:rsidR="00E95E4F" w:rsidRPr="00E73DEC">
        <w:rPr>
          <w:rFonts w:eastAsia="Times New Roman"/>
          <w:color w:val="333333"/>
        </w:rPr>
        <w:t>al</w:t>
      </w:r>
      <w:proofErr w:type="spellEnd"/>
      <w:r w:rsidR="00E95E4F" w:rsidRPr="00E73DEC">
        <w:rPr>
          <w:rFonts w:eastAsia="Times New Roman"/>
          <w:color w:val="333333"/>
        </w:rPr>
        <w:t xml:space="preserve"> who </w:t>
      </w:r>
      <w:r w:rsidR="00E95E4F" w:rsidRPr="00A60F0F">
        <w:rPr>
          <w:rFonts w:eastAsia="Times New Roman"/>
          <w:color w:val="333333"/>
        </w:rPr>
        <w:t>personified</w:t>
      </w:r>
      <w:r w:rsidR="00E95E4F" w:rsidRPr="00E73DEC">
        <w:rPr>
          <w:rFonts w:eastAsia="Times New Roman"/>
          <w:color w:val="333333"/>
        </w:rPr>
        <w:t xml:space="preserve"> royal power and authority. Much of our knowledge about Canaanite gods comes from the local Canaanite literature, particularly from the archive of cuneiform tablets from the site of Ugarit. The Canaanite </w:t>
      </w:r>
      <w:r w:rsidR="00E95E4F" w:rsidRPr="00A60F0F">
        <w:rPr>
          <w:rFonts w:eastAsia="Times New Roman"/>
          <w:color w:val="333333"/>
        </w:rPr>
        <w:t>deities</w:t>
      </w:r>
      <w:r w:rsidR="00E95E4F" w:rsidRPr="00E73DEC">
        <w:rPr>
          <w:rFonts w:eastAsia="Times New Roman"/>
          <w:color w:val="333333"/>
        </w:rPr>
        <w:t xml:space="preserve"> continued to be worshipped during the first millennium BC</w:t>
      </w:r>
      <w:r w:rsidR="00E95E4F" w:rsidRPr="00A60F0F">
        <w:rPr>
          <w:rFonts w:eastAsia="Times New Roman"/>
          <w:color w:val="333333"/>
        </w:rPr>
        <w:t>E</w:t>
      </w:r>
      <w:r w:rsidR="00E95E4F" w:rsidRPr="00E73DEC">
        <w:rPr>
          <w:rFonts w:eastAsia="Times New Roman"/>
          <w:color w:val="333333"/>
        </w:rPr>
        <w:t xml:space="preserve">, </w:t>
      </w:r>
      <w:r w:rsidR="00E95E4F" w:rsidRPr="00A60F0F">
        <w:rPr>
          <w:rFonts w:eastAsia="Times New Roman"/>
          <w:color w:val="333333"/>
        </w:rPr>
        <w:t>al</w:t>
      </w:r>
      <w:r w:rsidR="00E95E4F" w:rsidRPr="00E73DEC">
        <w:rPr>
          <w:rFonts w:eastAsia="Times New Roman"/>
          <w:color w:val="333333"/>
        </w:rPr>
        <w:t xml:space="preserve">though some of their functions changed. They were worshipped wherever the Canaanites established trading colonies across the Mediterranean. </w:t>
      </w:r>
    </w:p>
    <w:p w:rsidR="00E73DEC" w:rsidRPr="00A60F0F" w:rsidRDefault="00E73DEC" w:rsidP="00E95E4F">
      <w:pPr>
        <w:spacing w:after="0"/>
        <w:rPr>
          <w:b/>
          <w:bCs/>
        </w:rPr>
      </w:pPr>
      <w:r w:rsidRPr="00A60F0F">
        <w:rPr>
          <w:b/>
          <w:bCs/>
        </w:rPr>
        <w:t>References:</w:t>
      </w:r>
    </w:p>
    <w:p w:rsidR="00E95E4F" w:rsidRPr="00A60F0F" w:rsidRDefault="00E95E4F" w:rsidP="00E95E4F">
      <w:pPr>
        <w:spacing w:after="0"/>
        <w:rPr>
          <w:rFonts w:eastAsia="Times New Roman"/>
          <w:color w:val="333333"/>
        </w:rPr>
      </w:pPr>
    </w:p>
    <w:p w:rsidR="00853D6E" w:rsidRPr="00A60F0F" w:rsidRDefault="00853D6E" w:rsidP="00E95E4F">
      <w:pPr>
        <w:spacing w:after="0"/>
      </w:pPr>
      <w:r w:rsidRPr="00A60F0F">
        <w:rPr>
          <w:rFonts w:eastAsia="Times New Roman"/>
          <w:color w:val="333333"/>
        </w:rPr>
        <w:t>Hansen</w:t>
      </w:r>
      <w:r w:rsidRPr="00A60F0F">
        <w:rPr>
          <w:rFonts w:eastAsia="Times New Roman"/>
          <w:color w:val="333333"/>
        </w:rPr>
        <w:t xml:space="preserve">, D. P. </w:t>
      </w:r>
      <w:r w:rsidR="00E95E4F" w:rsidRPr="00A60F0F">
        <w:rPr>
          <w:rFonts w:eastAsia="Times New Roman"/>
          <w:color w:val="333333"/>
        </w:rPr>
        <w:t xml:space="preserve">1969. </w:t>
      </w:r>
      <w:r w:rsidRPr="00A60F0F">
        <w:rPr>
          <w:rFonts w:eastAsia="Times New Roman"/>
          <w:color w:val="333333"/>
        </w:rPr>
        <w:t>“</w:t>
      </w:r>
      <w:r w:rsidR="00E95E4F" w:rsidRPr="00A60F0F">
        <w:rPr>
          <w:rFonts w:eastAsia="Times New Roman"/>
          <w:color w:val="333333"/>
        </w:rPr>
        <w:t>Some remarks on the chro</w:t>
      </w:r>
      <w:r w:rsidRPr="00A60F0F">
        <w:rPr>
          <w:rFonts w:eastAsia="Times New Roman"/>
          <w:color w:val="333333"/>
        </w:rPr>
        <w:t>nology and style of the objects from Byblos</w:t>
      </w:r>
      <w:r w:rsidR="00E95E4F" w:rsidRPr="00A60F0F">
        <w:rPr>
          <w:rFonts w:eastAsia="Times New Roman"/>
          <w:color w:val="333333"/>
        </w:rPr>
        <w:t xml:space="preserve">,” </w:t>
      </w:r>
      <w:r w:rsidR="00E95E4F" w:rsidRPr="00A60F0F">
        <w:rPr>
          <w:rFonts w:eastAsia="Times New Roman"/>
          <w:i/>
          <w:color w:val="333333"/>
        </w:rPr>
        <w:t>American Journal of Archaeology</w:t>
      </w:r>
      <w:r w:rsidR="00E95E4F" w:rsidRPr="00A60F0F">
        <w:rPr>
          <w:rFonts w:eastAsia="Times New Roman"/>
          <w:color w:val="333333"/>
        </w:rPr>
        <w:t>, 73:281-284.</w:t>
      </w:r>
      <w:r w:rsidRPr="00A60F0F">
        <w:rPr>
          <w:rFonts w:eastAsia="Times New Roman"/>
          <w:color w:val="333333"/>
        </w:rPr>
        <w:t xml:space="preserve"> </w:t>
      </w:r>
    </w:p>
    <w:p w:rsidR="00E95E4F" w:rsidRPr="00A60F0F" w:rsidRDefault="00E95E4F" w:rsidP="00E95E4F">
      <w:pPr>
        <w:shd w:val="clear" w:color="auto" w:fill="F3F2F0"/>
        <w:spacing w:after="0" w:line="240" w:lineRule="auto"/>
        <w:jc w:val="both"/>
        <w:rPr>
          <w:rFonts w:eastAsia="Times New Roman"/>
          <w:color w:val="333333"/>
        </w:rPr>
      </w:pPr>
    </w:p>
    <w:p w:rsidR="00853D6E" w:rsidRPr="00A60F0F" w:rsidRDefault="004A71A5" w:rsidP="00E95E4F">
      <w:pPr>
        <w:shd w:val="clear" w:color="auto" w:fill="F3F2F0"/>
        <w:spacing w:after="0" w:line="240" w:lineRule="auto"/>
        <w:jc w:val="both"/>
        <w:rPr>
          <w:rFonts w:eastAsia="Times New Roman"/>
          <w:color w:val="333333"/>
        </w:rPr>
      </w:pPr>
      <w:r w:rsidRPr="00A60F0F">
        <w:rPr>
          <w:rFonts w:eastAsia="Times New Roman"/>
          <w:color w:val="333333"/>
        </w:rPr>
        <w:t>Kenyon</w:t>
      </w:r>
      <w:r w:rsidR="00853D6E" w:rsidRPr="00A60F0F">
        <w:rPr>
          <w:rFonts w:eastAsia="Times New Roman"/>
          <w:color w:val="333333"/>
        </w:rPr>
        <w:t>, Kathleen.</w:t>
      </w:r>
      <w:r w:rsidRPr="00A60F0F">
        <w:rPr>
          <w:rFonts w:eastAsia="Times New Roman"/>
          <w:color w:val="333333"/>
        </w:rPr>
        <w:t xml:space="preserve"> 1966</w:t>
      </w:r>
      <w:r w:rsidR="00853D6E" w:rsidRPr="00A60F0F">
        <w:rPr>
          <w:rFonts w:eastAsia="Times New Roman"/>
          <w:color w:val="333333"/>
        </w:rPr>
        <w:t xml:space="preserve">. </w:t>
      </w:r>
      <w:r w:rsidR="00853D6E" w:rsidRPr="00A60F0F">
        <w:rPr>
          <w:rFonts w:eastAsia="Times New Roman"/>
          <w:i/>
          <w:color w:val="333333"/>
        </w:rPr>
        <w:t xml:space="preserve">Amorites and </w:t>
      </w:r>
      <w:proofErr w:type="spellStart"/>
      <w:r w:rsidR="00853D6E" w:rsidRPr="00A60F0F">
        <w:rPr>
          <w:rFonts w:eastAsia="Times New Roman"/>
          <w:i/>
          <w:color w:val="333333"/>
        </w:rPr>
        <w:t>Canaaites</w:t>
      </w:r>
      <w:proofErr w:type="spellEnd"/>
      <w:r w:rsidR="00853D6E" w:rsidRPr="00A60F0F">
        <w:rPr>
          <w:rFonts w:eastAsia="Times New Roman"/>
          <w:color w:val="333333"/>
        </w:rPr>
        <w:t>. The Schweich Lecture 1963. London.</w:t>
      </w:r>
    </w:p>
    <w:p w:rsidR="00E95E4F" w:rsidRPr="00A60F0F" w:rsidRDefault="00E95E4F" w:rsidP="00E95E4F">
      <w:pPr>
        <w:spacing w:after="0"/>
      </w:pPr>
    </w:p>
    <w:p w:rsidR="00E73DEC" w:rsidRPr="00A60F0F" w:rsidRDefault="00853D6E" w:rsidP="00E95E4F">
      <w:pPr>
        <w:spacing w:after="0"/>
      </w:pPr>
      <w:proofErr w:type="spellStart"/>
      <w:r w:rsidRPr="00A60F0F">
        <w:lastRenderedPageBreak/>
        <w:t>Negbi</w:t>
      </w:r>
      <w:proofErr w:type="spellEnd"/>
      <w:r w:rsidRPr="00A60F0F">
        <w:t xml:space="preserve">, Ora. 1976. </w:t>
      </w:r>
      <w:r w:rsidRPr="00A60F0F">
        <w:rPr>
          <w:i/>
        </w:rPr>
        <w:t xml:space="preserve">Canaanite gods in metal: an archaeological study of ancient </w:t>
      </w:r>
      <w:proofErr w:type="spellStart"/>
      <w:r w:rsidRPr="00A60F0F">
        <w:rPr>
          <w:i/>
        </w:rPr>
        <w:t>Syro</w:t>
      </w:r>
      <w:proofErr w:type="spellEnd"/>
      <w:r w:rsidRPr="00A60F0F">
        <w:rPr>
          <w:i/>
        </w:rPr>
        <w:t>-Palestinian figurines.</w:t>
      </w:r>
      <w:r w:rsidRPr="00A60F0F">
        <w:t xml:space="preserve"> </w:t>
      </w:r>
      <w:r w:rsidR="00E95E4F" w:rsidRPr="00A60F0F">
        <w:rPr>
          <w:rFonts w:hint="eastAsia"/>
        </w:rPr>
        <w:t>Publications of the Institute of Archaeology; no. 5</w:t>
      </w:r>
      <w:r w:rsidR="00E95E4F" w:rsidRPr="00A60F0F">
        <w:t>.</w:t>
      </w:r>
      <w:r w:rsidR="00E95E4F" w:rsidRPr="00A60F0F">
        <w:rPr>
          <w:rFonts w:hint="eastAsia"/>
        </w:rPr>
        <w:t xml:space="preserve"> </w:t>
      </w:r>
      <w:r w:rsidRPr="00A60F0F">
        <w:rPr>
          <w:rFonts w:hint="eastAsia"/>
        </w:rPr>
        <w:t>Tel Aviv: Tel Aviv University, Institute of Archaeology</w:t>
      </w:r>
      <w:r w:rsidRPr="00A60F0F">
        <w:t>.</w:t>
      </w:r>
      <w:r w:rsidR="004A71A5" w:rsidRPr="00A60F0F">
        <w:t xml:space="preserve">        </w:t>
      </w:r>
      <w:r w:rsidR="00A41F48" w:rsidRPr="00A60F0F">
        <w:tab/>
      </w:r>
      <w:r w:rsidR="00E73DEC" w:rsidRPr="00A60F0F">
        <w:t xml:space="preserve"> </w:t>
      </w:r>
    </w:p>
    <w:p w:rsidR="00E73DEC" w:rsidRPr="00A60F0F" w:rsidRDefault="00E73DEC" w:rsidP="00853D6E"/>
    <w:sectPr w:rsidR="00E73DEC" w:rsidRPr="00A60F0F" w:rsidSect="001776AB">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DEC"/>
    <w:rsid w:val="000835AF"/>
    <w:rsid w:val="00151F1C"/>
    <w:rsid w:val="001776AB"/>
    <w:rsid w:val="001B120D"/>
    <w:rsid w:val="004A71A5"/>
    <w:rsid w:val="004B4809"/>
    <w:rsid w:val="00853D6E"/>
    <w:rsid w:val="00A41F48"/>
    <w:rsid w:val="00A60F0F"/>
    <w:rsid w:val="00C6041D"/>
    <w:rsid w:val="00CB7D05"/>
    <w:rsid w:val="00D36834"/>
    <w:rsid w:val="00D400DE"/>
    <w:rsid w:val="00DD6E7E"/>
    <w:rsid w:val="00E73DEC"/>
    <w:rsid w:val="00E95E4F"/>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19625-CFC6-4EEC-8E27-1F63A4CE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73DEC"/>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E73DEC"/>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DEC"/>
    <w:rPr>
      <w:rFonts w:eastAsia="Times New Roman"/>
      <w:b/>
      <w:bCs/>
      <w:kern w:val="36"/>
      <w:sz w:val="48"/>
      <w:szCs w:val="48"/>
    </w:rPr>
  </w:style>
  <w:style w:type="character" w:customStyle="1" w:styleId="Heading2Char">
    <w:name w:val="Heading 2 Char"/>
    <w:basedOn w:val="DefaultParagraphFont"/>
    <w:link w:val="Heading2"/>
    <w:uiPriority w:val="9"/>
    <w:rsid w:val="00E73DEC"/>
    <w:rPr>
      <w:rFonts w:eastAsia="Times New Roman"/>
      <w:b/>
      <w:bCs/>
      <w:sz w:val="36"/>
      <w:szCs w:val="36"/>
    </w:rPr>
  </w:style>
  <w:style w:type="character" w:styleId="Hyperlink">
    <w:name w:val="Hyperlink"/>
    <w:basedOn w:val="DefaultParagraphFont"/>
    <w:uiPriority w:val="99"/>
    <w:unhideWhenUsed/>
    <w:rsid w:val="00E73DEC"/>
    <w:rPr>
      <w:color w:val="0000FF"/>
      <w:u w:val="single"/>
    </w:rPr>
  </w:style>
  <w:style w:type="paragraph" w:styleId="HTMLAddress">
    <w:name w:val="HTML Address"/>
    <w:basedOn w:val="Normal"/>
    <w:link w:val="HTMLAddressChar"/>
    <w:uiPriority w:val="99"/>
    <w:semiHidden/>
    <w:unhideWhenUsed/>
    <w:rsid w:val="00E73DEC"/>
    <w:pPr>
      <w:spacing w:after="0" w:line="240" w:lineRule="auto"/>
    </w:pPr>
    <w:rPr>
      <w:rFonts w:eastAsia="Times New Roman"/>
      <w:i/>
      <w:iCs/>
    </w:rPr>
  </w:style>
  <w:style w:type="character" w:customStyle="1" w:styleId="HTMLAddressChar">
    <w:name w:val="HTML Address Char"/>
    <w:basedOn w:val="DefaultParagraphFont"/>
    <w:link w:val="HTMLAddress"/>
    <w:uiPriority w:val="99"/>
    <w:semiHidden/>
    <w:rsid w:val="00E73DEC"/>
    <w:rPr>
      <w:rFonts w:eastAsia="Times New Roman"/>
      <w:i/>
      <w:iCs/>
    </w:rPr>
  </w:style>
  <w:style w:type="character" w:styleId="Strong">
    <w:name w:val="Strong"/>
    <w:basedOn w:val="DefaultParagraphFont"/>
    <w:qFormat/>
    <w:rsid w:val="00E73DEC"/>
    <w:rPr>
      <w:b/>
      <w:bCs/>
    </w:rPr>
  </w:style>
  <w:style w:type="character" w:customStyle="1" w:styleId="price">
    <w:name w:val="price"/>
    <w:basedOn w:val="DefaultParagraphFont"/>
    <w:rsid w:val="00E73DEC"/>
  </w:style>
  <w:style w:type="character" w:customStyle="1" w:styleId="btn">
    <w:name w:val="btn"/>
    <w:basedOn w:val="DefaultParagraphFont"/>
    <w:rsid w:val="00E73DEC"/>
  </w:style>
  <w:style w:type="paragraph" w:styleId="NormalWeb">
    <w:name w:val="Normal (Web)"/>
    <w:basedOn w:val="Normal"/>
    <w:uiPriority w:val="99"/>
    <w:semiHidden/>
    <w:unhideWhenUsed/>
    <w:rsid w:val="00E73DEC"/>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E73DEC"/>
    <w:rPr>
      <w:i/>
      <w:iCs/>
    </w:rPr>
  </w:style>
  <w:style w:type="character" w:customStyle="1" w:styleId="geo-dms">
    <w:name w:val="geo-dms"/>
    <w:basedOn w:val="DefaultParagraphFont"/>
    <w:rsid w:val="00D400DE"/>
  </w:style>
  <w:style w:type="character" w:customStyle="1" w:styleId="latitude">
    <w:name w:val="latitude"/>
    <w:basedOn w:val="DefaultParagraphFont"/>
    <w:rsid w:val="00D400DE"/>
  </w:style>
  <w:style w:type="character" w:customStyle="1" w:styleId="longitude">
    <w:name w:val="longitude"/>
    <w:basedOn w:val="DefaultParagraphFont"/>
    <w:rsid w:val="00D40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459978">
      <w:bodyDiv w:val="1"/>
      <w:marLeft w:val="0"/>
      <w:marRight w:val="0"/>
      <w:marTop w:val="0"/>
      <w:marBottom w:val="0"/>
      <w:divBdr>
        <w:top w:val="none" w:sz="0" w:space="0" w:color="auto"/>
        <w:left w:val="none" w:sz="0" w:space="0" w:color="auto"/>
        <w:bottom w:val="none" w:sz="0" w:space="0" w:color="auto"/>
        <w:right w:val="none" w:sz="0" w:space="0" w:color="auto"/>
      </w:divBdr>
      <w:divsChild>
        <w:div w:id="1747728770">
          <w:marLeft w:val="0"/>
          <w:marRight w:val="0"/>
          <w:marTop w:val="0"/>
          <w:marBottom w:val="0"/>
          <w:divBdr>
            <w:top w:val="none" w:sz="0" w:space="0" w:color="auto"/>
            <w:left w:val="none" w:sz="0" w:space="0" w:color="auto"/>
            <w:bottom w:val="none" w:sz="0" w:space="0" w:color="auto"/>
            <w:right w:val="none" w:sz="0" w:space="0" w:color="auto"/>
          </w:divBdr>
        </w:div>
        <w:div w:id="1151601564">
          <w:marLeft w:val="0"/>
          <w:marRight w:val="0"/>
          <w:marTop w:val="0"/>
          <w:marBottom w:val="0"/>
          <w:divBdr>
            <w:top w:val="single" w:sz="6" w:space="8" w:color="E7E7E7"/>
            <w:left w:val="none" w:sz="0" w:space="0" w:color="auto"/>
            <w:bottom w:val="none" w:sz="0" w:space="0" w:color="auto"/>
            <w:right w:val="none" w:sz="0" w:space="0" w:color="auto"/>
          </w:divBdr>
        </w:div>
        <w:div w:id="1822889366">
          <w:marLeft w:val="0"/>
          <w:marRight w:val="0"/>
          <w:marTop w:val="0"/>
          <w:marBottom w:val="0"/>
          <w:divBdr>
            <w:top w:val="none" w:sz="0" w:space="0" w:color="auto"/>
            <w:left w:val="none" w:sz="0" w:space="0" w:color="auto"/>
            <w:bottom w:val="none" w:sz="0" w:space="0" w:color="auto"/>
            <w:right w:val="none" w:sz="0" w:space="0" w:color="auto"/>
          </w:divBdr>
        </w:div>
        <w:div w:id="896277937">
          <w:marLeft w:val="-225"/>
          <w:marRight w:val="-225"/>
          <w:marTop w:val="0"/>
          <w:marBottom w:val="0"/>
          <w:divBdr>
            <w:top w:val="none" w:sz="0" w:space="0" w:color="auto"/>
            <w:left w:val="none" w:sz="0" w:space="0" w:color="auto"/>
            <w:bottom w:val="none" w:sz="0" w:space="0" w:color="auto"/>
            <w:right w:val="none" w:sz="0" w:space="0" w:color="auto"/>
          </w:divBdr>
          <w:divsChild>
            <w:div w:id="783498379">
              <w:marLeft w:val="0"/>
              <w:marRight w:val="0"/>
              <w:marTop w:val="0"/>
              <w:marBottom w:val="300"/>
              <w:divBdr>
                <w:top w:val="none" w:sz="0" w:space="0" w:color="auto"/>
                <w:left w:val="none" w:sz="0" w:space="0" w:color="auto"/>
                <w:bottom w:val="none" w:sz="0" w:space="0" w:color="auto"/>
                <w:right w:val="none" w:sz="0" w:space="0" w:color="auto"/>
              </w:divBdr>
              <w:divsChild>
                <w:div w:id="413284246">
                  <w:marLeft w:val="0"/>
                  <w:marRight w:val="0"/>
                  <w:marTop w:val="0"/>
                  <w:marBottom w:val="0"/>
                  <w:divBdr>
                    <w:top w:val="none" w:sz="0" w:space="0" w:color="auto"/>
                    <w:left w:val="none" w:sz="0" w:space="0" w:color="auto"/>
                    <w:bottom w:val="none" w:sz="0" w:space="0" w:color="auto"/>
                    <w:right w:val="none" w:sz="0" w:space="0" w:color="auto"/>
                  </w:divBdr>
                </w:div>
                <w:div w:id="99643823">
                  <w:marLeft w:val="0"/>
                  <w:marRight w:val="0"/>
                  <w:marTop w:val="0"/>
                  <w:marBottom w:val="0"/>
                  <w:divBdr>
                    <w:top w:val="none" w:sz="0" w:space="0" w:color="auto"/>
                    <w:left w:val="none" w:sz="0" w:space="0" w:color="auto"/>
                    <w:bottom w:val="none" w:sz="0" w:space="0" w:color="auto"/>
                    <w:right w:val="none" w:sz="0" w:space="0" w:color="auto"/>
                  </w:divBdr>
                </w:div>
                <w:div w:id="18246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1913">
          <w:marLeft w:val="0"/>
          <w:marRight w:val="0"/>
          <w:marTop w:val="0"/>
          <w:marBottom w:val="0"/>
          <w:divBdr>
            <w:top w:val="none" w:sz="0" w:space="0" w:color="auto"/>
            <w:left w:val="none" w:sz="0" w:space="0" w:color="auto"/>
            <w:bottom w:val="none" w:sz="0" w:space="0" w:color="auto"/>
            <w:right w:val="none" w:sz="0" w:space="0" w:color="auto"/>
          </w:divBdr>
        </w:div>
      </w:divsChild>
    </w:div>
    <w:div w:id="20714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yblos&amp;params=34_07_25_N_35_39_04_E_type:city_region:LB-J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anabases.revues.org/docannexe/image/849/img-8-small580.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2017-10-16T14:54:00Z</dcterms:created>
  <dcterms:modified xsi:type="dcterms:W3CDTF">2017-10-16T14:54:00Z</dcterms:modified>
</cp:coreProperties>
</file>