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DIS-ME-Anatolia-Spade-shaped Female Figure</w:t>
      </w:r>
    </w:p>
    <w:p>
      <w:pPr>
        <w:pStyle w:val="Normal"/>
        <w:rPr/>
      </w:pPr>
      <w:r>
        <w:rPr/>
        <w:t>Spade-shaped schematic female figure, Early Bronze Age I, ca. 3000–2800 BCE, Anatolia, Limestone</w:t>
      </w:r>
    </w:p>
    <w:p>
      <w:pPr>
        <w:pStyle w:val="Normal"/>
        <w:rPr/>
      </w:pPr>
      <w:r>
        <w:rPr/>
        <w:drawing>
          <wp:inline distT="0" distB="0" distL="0" distR="0">
            <wp:extent cx="1845310" cy="443166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83130" cy="440563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88540" cy="4400550"/>
            <wp:effectExtent l="0" t="0" r="0" b="0"/>
            <wp:docPr id="3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>Anatolia, Spade-shaped schematic female figure, Early Bronze Age I, ca. 3000–2800 BCE, Limestone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GN778.32.A1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3000–2800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Anatolia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Early Bronze Age I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Limestone, crack professionally restored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7.1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Fonts w:ascii="Trebuchet MS" w:hAnsi="Trebuchet MS" w:cs="Trebuchet MS"/>
          <w:sz w:val="27"/>
          <w:szCs w:val="27"/>
        </w:rPr>
      </w:pPr>
      <w:r>
        <w:rPr>
          <w:rStyle w:val="StrongEmphasis"/>
        </w:rPr>
        <w:t xml:space="preserve">Provenance: Belgian Collection 1980; </w:t>
      </w:r>
      <w:r>
        <w:rPr/>
        <w:t>viajero-en-el-tiempo 1981-2016, Atlantika 2016</w:t>
      </w:r>
      <w:r>
        <w:rPr>
          <w:rStyle w:val="StrongEmphasis"/>
        </w:rPr>
        <w:t xml:space="preserve"> </w:t>
      </w:r>
      <w:r>
        <w:br w:type="page"/>
      </w:r>
    </w:p>
    <w:p>
      <w:pPr>
        <w:pStyle w:val="Normal"/>
        <w:ind w:start="720" w:hanging="0"/>
        <w:rPr/>
      </w:pPr>
      <w:r>
        <w:rPr/>
        <w:drawing>
          <wp:inline distT="0" distB="0" distL="0" distR="0">
            <wp:extent cx="4447540" cy="5953125"/>
            <wp:effectExtent l="0" t="0" r="0" b="0"/>
            <wp:docPr id="4" name="ME67_183_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67_183_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5" t="-18" r="-2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Spade-shaped schematic female figure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67.183.6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3000–2800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Anatolia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Early Bronze Age I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Limestone.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0.24 x 1.34 x 2.24 in. (0.61 x 3.4 x 5.69 cm)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 xml:space="preserve">Provenance: </w:t>
      </w:r>
      <w:r>
        <w:rPr/>
        <w:t>Rogers Fund, 1967; Acquired by the Metropolitan Museum in 1967, purchased from Peter Mol, Amsterdam.</w:t>
      </w:r>
    </w:p>
    <w:p>
      <w:pPr>
        <w:pStyle w:val="Normal"/>
        <w:rPr>
          <w:rFonts w:ascii="Trebuchet MS" w:hAnsi="Trebuchet MS" w:cs="Trebuchet MS"/>
          <w:sz w:val="27"/>
          <w:szCs w:val="27"/>
        </w:rPr>
      </w:pPr>
      <w:r>
        <w:rPr>
          <w:b/>
          <w:bCs/>
          <w:szCs w:val="27"/>
        </w:rPr>
        <w:t xml:space="preserve">Reference: </w:t>
      </w:r>
      <w:r>
        <w:rPr/>
        <w:t>Crawford, Vaughn E. 1968. "Reports of the Departments: Ancient Near Eastern Art." The Metropolitan Museum of Art Bulletin 27 (2), Ninety-Eighth Annual Report of the Trustees of The Metropolitan Museum of Art for the Fiscal Year 1967-1968 (Oct., 1968), pp. 75-76.</w:t>
      </w:r>
      <w:r>
        <w:br w:type="page"/>
      </w:r>
    </w:p>
    <w:p>
      <w:pPr>
        <w:pStyle w:val="Normal"/>
        <w:ind w:start="720" w:hanging="0"/>
        <w:rPr>
          <w:rFonts w:ascii="Trebuchet MS" w:hAnsi="Trebuchet MS" w:cs="Trebuchet MS"/>
          <w:sz w:val="36"/>
          <w:szCs w:val="36"/>
        </w:rPr>
      </w:pPr>
      <w:r>
        <w:rPr>
          <w:rFonts w:cs="Trebuchet MS" w:ascii="Trebuchet MS" w:hAnsi="Trebuchet MS"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86"/>
        <w:gridCol w:w="3234"/>
        <w:gridCol w:w="2724"/>
      </w:tblGrid>
      <w:tr>
        <w:trPr/>
        <w:tc>
          <w:tcPr>
            <w:tcW w:w="4386" w:type="dxa"/>
            <w:tcBorders/>
            <w:shd w:fill="auto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Order information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W w:w="3890" w:type="dxa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725"/>
              <w:gridCol w:w="2165"/>
            </w:tblGrid>
            <w:tr>
              <w:trPr/>
              <w:tc>
                <w:tcPr>
                  <w:tcW w:w="172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Buyer</w:t>
                  </w:r>
                </w:p>
              </w:tc>
              <w:tc>
                <w:tcPr>
                  <w:tcW w:w="216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802-867</w:t>
                  </w:r>
                </w:p>
              </w:tc>
            </w:tr>
            <w:tr>
              <w:trPr/>
              <w:tc>
                <w:tcPr>
                  <w:tcW w:w="172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Seller</w:t>
                  </w:r>
                </w:p>
              </w:tc>
              <w:tc>
                <w:tcPr>
                  <w:tcW w:w="216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viajero-en-el-tiempo</w:t>
                  </w:r>
                </w:p>
              </w:tc>
            </w:tr>
            <w:tr>
              <w:trPr/>
              <w:tc>
                <w:tcPr>
                  <w:tcW w:w="172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Order placed on</w:t>
                  </w:r>
                </w:p>
              </w:tc>
              <w:tc>
                <w:tcPr>
                  <w:tcW w:w="216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Ngbindingngscope"/>
                    </w:rPr>
                    <w:t>Friday, Nov 25, 2016</w:t>
                  </w:r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172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Payment method</w:t>
                  </w:r>
                </w:p>
              </w:tc>
              <w:tc>
                <w:tcPr>
                  <w:tcW w:w="216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PayPal Credit</w:t>
                  </w:r>
                </w:p>
              </w:tc>
            </w:tr>
            <w:tr>
              <w:trPr/>
              <w:tc>
                <w:tcPr>
                  <w:tcW w:w="172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Payment date</w:t>
                  </w:r>
                </w:p>
              </w:tc>
              <w:tc>
                <w:tcPr>
                  <w:tcW w:w="216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Ngbindingngscope"/>
                    </w:rPr>
                    <w:t>Friday, Nov 25, 2016</w:t>
                  </w:r>
                  <w:r>
                    <w:rPr/>
                    <w:t xml:space="preserve">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234" w:type="dxa"/>
            <w:tcBorders/>
            <w:shd w:fill="auto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address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>Swampscott MA 01907-2427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  <w:tc>
          <w:tcPr>
            <w:tcW w:w="2724" w:type="dxa"/>
            <w:tcBorders/>
            <w:shd w:fill="auto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Order total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W w:w="5000" w:type="pct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410"/>
              <w:gridCol w:w="1284"/>
            </w:tblGrid>
            <w:tr>
              <w:trPr/>
              <w:tc>
                <w:tcPr>
                  <w:tcW w:w="141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Subtotal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$140.00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Shipping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Ngbindingngscope"/>
                    </w:rPr>
                    <w:t>$10.00</w:t>
                  </w:r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Total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$150.00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386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344" w:type="dxa"/>
            <w:gridSpan w:val="3"/>
            <w:tcBorders/>
            <w:shd w:fill="auto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 xml:space="preserve">Item(s) bought from </w:t>
            </w:r>
            <w:r>
              <w:rPr>
                <w:rStyle w:val="Ngbinding"/>
              </w:rPr>
              <w:t>viajero-en-el-tiempo</w:t>
            </w:r>
          </w:p>
          <w:p>
            <w:pPr>
              <w:pStyle w:val="Normal"/>
              <w:rPr/>
            </w:pPr>
            <w:r>
              <w:rPr/>
              <w:br/>
            </w:r>
          </w:p>
          <w:tbl>
            <w:tblPr>
              <w:tblW w:w="5000" w:type="pct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497"/>
              <w:gridCol w:w="6551"/>
              <w:gridCol w:w="2239"/>
              <w:gridCol w:w="1027"/>
            </w:tblGrid>
            <w:tr>
              <w:trPr>
                <w:tblHeader w:val="true"/>
              </w:trPr>
              <w:tc>
                <w:tcPr>
                  <w:tcW w:w="4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Qty</w:t>
                  </w:r>
                </w:p>
              </w:tc>
              <w:tc>
                <w:tcPr>
                  <w:tcW w:w="655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Item name</w:t>
                  </w:r>
                </w:p>
              </w:tc>
              <w:tc>
                <w:tcPr>
                  <w:tcW w:w="223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Shipping service</w:t>
                  </w:r>
                </w:p>
              </w:tc>
              <w:tc>
                <w:tcPr>
                  <w:tcW w:w="10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Item price</w:t>
                  </w:r>
                </w:p>
              </w:tc>
            </w:tr>
            <w:tr>
              <w:trPr/>
              <w:tc>
                <w:tcPr>
                  <w:tcW w:w="4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55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&lt;&lt;&lt;TimeTraveller&gt;&gt;&gt; SCARCE MARBLE LIMESTONE NEOLITHIC-CHALCOLITHIC IDOL (322330718270)</w:t>
                  </w:r>
                </w:p>
              </w:tc>
              <w:tc>
                <w:tcPr>
                  <w:tcW w:w="223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  <w:t>Economy Shipping from outside US</w:t>
                  </w:r>
                </w:p>
              </w:tc>
              <w:tc>
                <w:tcPr>
                  <w:tcW w:w="10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Ngbinding"/>
                    </w:rPr>
                    <w:t>$140.00</w:t>
                  </w:r>
                </w:p>
              </w:tc>
            </w:tr>
          </w:tbl>
          <w:p>
            <w:pPr>
              <w:pStyle w:val="Normal"/>
              <w:spacing w:before="207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rebuchet MS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Appletabspan">
    <w:name w:val="apple-tab-span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">
    <w:name w:val="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2016-11-25T07:35:00Z</dcterms:created>
  <dc:creator>owner</dc:creator>
  <dc:description/>
  <dc:language>en-US</dc:language>
  <cp:lastModifiedBy>owner</cp:lastModifiedBy>
  <dcterms:modified xsi:type="dcterms:W3CDTF">2016-11-26T07:19:00Z</dcterms:modified>
  <cp:revision>4</cp:revision>
  <dc:subject/>
  <dc:title>DIS-Eur-Spain-Millares-Neolithic-Figure 8</dc:title>
</cp:coreProperties>
</file>