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1D" w:rsidRDefault="00063B1D" w:rsidP="00063B1D">
      <w:pPr>
        <w:spacing w:after="0"/>
        <w:ind w:right="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Dis-ME-</w:t>
      </w:r>
    </w:p>
    <w:p w:rsidR="00063B1D" w:rsidRDefault="00063B1D" w:rsidP="00063B1D">
      <w:pPr>
        <w:spacing w:after="0"/>
        <w:ind w:right="2"/>
        <w:rPr>
          <w:rFonts w:ascii="Times New Roman" w:hAnsi="Times New Roman" w:cs="Times New Roman"/>
          <w:b/>
          <w:sz w:val="32"/>
          <w:szCs w:val="32"/>
        </w:rPr>
      </w:pPr>
      <w:r w:rsidRPr="00C050E2">
        <w:rPr>
          <w:rFonts w:ascii="Times New Roman" w:hAnsi="Times New Roman" w:cs="Times New Roman"/>
          <w:b/>
          <w:sz w:val="32"/>
          <w:szCs w:val="32"/>
        </w:rPr>
        <w:t xml:space="preserve">Western Asiatic </w:t>
      </w:r>
      <w:proofErr w:type="spellStart"/>
      <w:r w:rsidRPr="00C050E2">
        <w:rPr>
          <w:rFonts w:ascii="Times New Roman" w:hAnsi="Times New Roman" w:cs="Times New Roman"/>
          <w:b/>
          <w:sz w:val="32"/>
          <w:szCs w:val="32"/>
        </w:rPr>
        <w:t>Syro-Hititte</w:t>
      </w:r>
      <w:proofErr w:type="spellEnd"/>
      <w:r w:rsidRPr="00C050E2">
        <w:rPr>
          <w:rFonts w:ascii="Times New Roman" w:hAnsi="Times New Roman" w:cs="Times New Roman"/>
          <w:b/>
          <w:sz w:val="32"/>
          <w:szCs w:val="32"/>
        </w:rPr>
        <w:t xml:space="preserve"> Figurines </w:t>
      </w:r>
      <w:r w:rsidRPr="00C050E2">
        <w:rPr>
          <w:rStyle w:val="st"/>
          <w:rFonts w:ascii="Times New Roman" w:hAnsi="Times New Roman" w:cs="Times New Roman"/>
          <w:b/>
          <w:sz w:val="32"/>
          <w:szCs w:val="32"/>
        </w:rPr>
        <w:t>1180-</w:t>
      </w:r>
      <w:r w:rsidRPr="00C050E2">
        <w:rPr>
          <w:rFonts w:ascii="Times New Roman" w:hAnsi="Times New Roman" w:cs="Times New Roman"/>
          <w:b/>
          <w:sz w:val="32"/>
          <w:szCs w:val="32"/>
        </w:rPr>
        <w:t>700 BCE</w:t>
      </w:r>
    </w:p>
    <w:p w:rsidR="00063B1D" w:rsidRPr="00593CCD" w:rsidRDefault="00063B1D" w:rsidP="00063B1D">
      <w:pPr>
        <w:spacing w:after="0"/>
        <w:ind w:right="2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bookmarkStart w:id="0" w:name="_GoBack"/>
      <w:r w:rsidRPr="00593CCD">
        <w:rPr>
          <w:rStyle w:val="st"/>
          <w:rFonts w:ascii="Times New Roman" w:hAnsi="Times New Roman" w:cs="Times New Roman"/>
          <w:b/>
          <w:sz w:val="24"/>
          <w:szCs w:val="24"/>
        </w:rPr>
        <w:t xml:space="preserve">Depicting </w:t>
      </w:r>
      <w:proofErr w:type="spellStart"/>
      <w:r w:rsidRPr="00593CCD">
        <w:rPr>
          <w:rFonts w:ascii="Times New Roman" w:hAnsi="Times New Roman" w:cs="Times New Roman"/>
          <w:b/>
          <w:bCs/>
          <w:sz w:val="24"/>
          <w:szCs w:val="24"/>
        </w:rPr>
        <w:t>Asherah</w:t>
      </w:r>
      <w:proofErr w:type="spellEnd"/>
      <w:r w:rsidRPr="00593CCD">
        <w:rPr>
          <w:rStyle w:val="st"/>
          <w:rFonts w:ascii="Times New Roman" w:hAnsi="Times New Roman" w:cs="Times New Roman"/>
          <w:b/>
          <w:sz w:val="24"/>
          <w:szCs w:val="24"/>
        </w:rPr>
        <w:t xml:space="preserve"> (</w:t>
      </w:r>
      <w:r w:rsidRPr="00593CCD">
        <w:rPr>
          <w:rFonts w:ascii="Times New Roman" w:hAnsi="Times New Roman" w:cs="Times New Roman"/>
          <w:b/>
        </w:rPr>
        <w:t>Hebrew:</w:t>
      </w:r>
      <w:r w:rsidRPr="00593CCD">
        <w:rPr>
          <w:b/>
        </w:rPr>
        <w:t xml:space="preserve"> </w:t>
      </w:r>
      <w:r w:rsidRPr="00593CCD">
        <w:rPr>
          <w:rFonts w:hint="cs"/>
          <w:b/>
          <w:rtl/>
          <w:lang w:bidi="he-IL"/>
        </w:rPr>
        <w:t>אֲשֵׁרָה</w:t>
      </w:r>
      <w:r w:rsidRPr="00593CCD">
        <w:rPr>
          <w:b/>
        </w:rPr>
        <w:t>‎‎)</w:t>
      </w:r>
      <w:r w:rsidRPr="00593CCD">
        <w:rPr>
          <w:rStyle w:val="st"/>
          <w:rFonts w:ascii="Times New Roman" w:hAnsi="Times New Roman" w:cs="Times New Roman"/>
          <w:b/>
          <w:sz w:val="24"/>
          <w:szCs w:val="24"/>
        </w:rPr>
        <w:t xml:space="preserve"> the Israelite </w:t>
      </w:r>
      <w:r w:rsidRPr="00593CCD">
        <w:rPr>
          <w:rStyle w:val="Emphasis"/>
          <w:rFonts w:ascii="Times New Roman" w:hAnsi="Times New Roman" w:cs="Times New Roman"/>
          <w:b/>
          <w:sz w:val="24"/>
          <w:szCs w:val="24"/>
        </w:rPr>
        <w:t>Goddess</w:t>
      </w:r>
      <w:r w:rsidRPr="00593CCD">
        <w:rPr>
          <w:rStyle w:val="st"/>
          <w:rFonts w:ascii="Times New Roman" w:hAnsi="Times New Roman" w:cs="Times New Roman"/>
          <w:b/>
          <w:sz w:val="24"/>
          <w:szCs w:val="24"/>
        </w:rPr>
        <w:t xml:space="preserve"> of</w:t>
      </w:r>
      <w:r w:rsidRPr="00593CCD">
        <w:rPr>
          <w:rStyle w:val="st"/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93CCD">
        <w:rPr>
          <w:rStyle w:val="Emphasis"/>
          <w:rFonts w:ascii="Times New Roman" w:hAnsi="Times New Roman" w:cs="Times New Roman"/>
          <w:b/>
          <w:sz w:val="24"/>
          <w:szCs w:val="24"/>
        </w:rPr>
        <w:t>Fertility</w:t>
      </w:r>
    </w:p>
    <w:p w:rsidR="00063B1D" w:rsidRDefault="00063B1D" w:rsidP="00063B1D">
      <w:pPr>
        <w:spacing w:after="0"/>
        <w:ind w:right="2"/>
        <w:rPr>
          <w:rStyle w:val="reference-text"/>
          <w:rFonts w:ascii="Times New Roman" w:hAnsi="Times New Roman" w:cs="Times New Roman"/>
          <w:b/>
        </w:rPr>
      </w:pPr>
      <w:proofErr w:type="spellStart"/>
      <w:r w:rsidRPr="00593CCD">
        <w:rPr>
          <w:rFonts w:ascii="Times New Roman" w:hAnsi="Times New Roman" w:cs="Times New Roman"/>
          <w:b/>
        </w:rPr>
        <w:t>Asherah</w:t>
      </w:r>
      <w:proofErr w:type="spellEnd"/>
      <w:r w:rsidRPr="00593CCD">
        <w:rPr>
          <w:rFonts w:ascii="Times New Roman" w:hAnsi="Times New Roman" w:cs="Times New Roman"/>
          <w:b/>
        </w:rPr>
        <w:t xml:space="preserve"> is identified as the queen consort of the Sumerian god </w:t>
      </w:r>
      <w:proofErr w:type="spellStart"/>
      <w:r w:rsidRPr="00593CCD">
        <w:rPr>
          <w:rFonts w:ascii="Times New Roman" w:hAnsi="Times New Roman" w:cs="Times New Roman"/>
          <w:b/>
        </w:rPr>
        <w:t>Anu</w:t>
      </w:r>
      <w:proofErr w:type="spellEnd"/>
      <w:r w:rsidRPr="00593CCD">
        <w:rPr>
          <w:rFonts w:ascii="Times New Roman" w:hAnsi="Times New Roman" w:cs="Times New Roman"/>
          <w:b/>
        </w:rPr>
        <w:t>, the Ugaritic El, and Yahweh, the god of Israel and Judah. Yahweh commands the destruction of her shrines so as to maintain purity of worship to Himself (</w:t>
      </w:r>
      <w:r w:rsidRPr="00593CCD">
        <w:rPr>
          <w:rStyle w:val="reference-text"/>
          <w:rFonts w:ascii="Times New Roman" w:hAnsi="Times New Roman" w:cs="Times New Roman"/>
          <w:b/>
        </w:rPr>
        <w:t xml:space="preserve">Deuteronomy 12: 3-4). </w:t>
      </w:r>
    </w:p>
    <w:p w:rsidR="00063B1D" w:rsidRPr="00593CCD" w:rsidRDefault="00063B1D" w:rsidP="00063B1D">
      <w:pPr>
        <w:spacing w:after="0"/>
        <w:ind w:right="2"/>
        <w:rPr>
          <w:rStyle w:val="HTMLCite"/>
          <w:rFonts w:ascii="Times New Roman" w:hAnsi="Times New Roman" w:cs="Times New Roman"/>
          <w:b/>
          <w:i w:val="0"/>
        </w:rPr>
      </w:pPr>
      <w:r w:rsidRPr="00593CCD">
        <w:rPr>
          <w:rStyle w:val="reference-text"/>
          <w:rFonts w:ascii="Times New Roman" w:hAnsi="Times New Roman" w:cs="Times New Roman"/>
          <w:b/>
        </w:rPr>
        <w:t>S</w:t>
      </w:r>
      <w:r w:rsidRPr="00593CCD">
        <w:rPr>
          <w:rStyle w:val="HTMLCite"/>
          <w:rFonts w:ascii="Times New Roman" w:hAnsi="Times New Roman" w:cs="Times New Roman"/>
          <w:b/>
        </w:rPr>
        <w:t xml:space="preserve">aul M. </w:t>
      </w:r>
      <w:proofErr w:type="spellStart"/>
      <w:r w:rsidRPr="00593CCD">
        <w:rPr>
          <w:rStyle w:val="HTMLCite"/>
          <w:rFonts w:ascii="Times New Roman" w:hAnsi="Times New Roman" w:cs="Times New Roman"/>
          <w:b/>
        </w:rPr>
        <w:t>Olyan</w:t>
      </w:r>
      <w:proofErr w:type="spellEnd"/>
      <w:r w:rsidRPr="00593CCD">
        <w:rPr>
          <w:rStyle w:val="HTMLCite"/>
          <w:rFonts w:ascii="Times New Roman" w:hAnsi="Times New Roman" w:cs="Times New Roman"/>
          <w:b/>
        </w:rPr>
        <w:t xml:space="preserve">, </w:t>
      </w:r>
      <w:proofErr w:type="spellStart"/>
      <w:r w:rsidRPr="00593CCD">
        <w:rPr>
          <w:rStyle w:val="HTMLCite"/>
          <w:rFonts w:ascii="Times New Roman" w:hAnsi="Times New Roman" w:cs="Times New Roman"/>
          <w:b/>
        </w:rPr>
        <w:t>Asherah</w:t>
      </w:r>
      <w:proofErr w:type="spellEnd"/>
      <w:r w:rsidRPr="00593CCD">
        <w:rPr>
          <w:rStyle w:val="HTMLCite"/>
          <w:rFonts w:ascii="Times New Roman" w:hAnsi="Times New Roman" w:cs="Times New Roman"/>
          <w:b/>
        </w:rPr>
        <w:t xml:space="preserve"> and the cult of Yahweh in Israel</w:t>
      </w:r>
      <w:r>
        <w:rPr>
          <w:rStyle w:val="HTMLCite"/>
          <w:rFonts w:ascii="Times New Roman" w:hAnsi="Times New Roman" w:cs="Times New Roman"/>
          <w:b/>
        </w:rPr>
        <w:t xml:space="preserve">. </w:t>
      </w:r>
      <w:r w:rsidRPr="00593CCD">
        <w:rPr>
          <w:rStyle w:val="HTMLCite"/>
          <w:rFonts w:ascii="Times New Roman" w:hAnsi="Times New Roman" w:cs="Times New Roman"/>
          <w:b/>
        </w:rPr>
        <w:t>NY: Scholars Pr</w:t>
      </w:r>
      <w:r>
        <w:rPr>
          <w:rStyle w:val="HTMLCite"/>
          <w:rFonts w:ascii="Times New Roman" w:hAnsi="Times New Roman" w:cs="Times New Roman"/>
          <w:b/>
        </w:rPr>
        <w:t>.</w:t>
      </w:r>
      <w:r w:rsidRPr="00593CCD">
        <w:rPr>
          <w:rStyle w:val="HTMLCite"/>
          <w:rFonts w:ascii="Times New Roman" w:hAnsi="Times New Roman" w:cs="Times New Roman"/>
          <w:b/>
        </w:rPr>
        <w:t>, 1988, p. 79.</w:t>
      </w:r>
    </w:p>
    <w:bookmarkEnd w:id="0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D"/>
    <w:rsid w:val="00063B1D"/>
    <w:rsid w:val="00151F1C"/>
    <w:rsid w:val="00B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3865-03B8-4135-90B1-19D45F4F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1D"/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63B1D"/>
  </w:style>
  <w:style w:type="character" w:styleId="Emphasis">
    <w:name w:val="Emphasis"/>
    <w:basedOn w:val="DefaultParagraphFont"/>
    <w:uiPriority w:val="20"/>
    <w:qFormat/>
    <w:rsid w:val="00063B1D"/>
    <w:rPr>
      <w:i/>
      <w:iCs/>
    </w:rPr>
  </w:style>
  <w:style w:type="character" w:customStyle="1" w:styleId="reference-text">
    <w:name w:val="reference-text"/>
    <w:basedOn w:val="DefaultParagraphFont"/>
    <w:rsid w:val="00063B1D"/>
  </w:style>
  <w:style w:type="character" w:styleId="HTMLCite">
    <w:name w:val="HTML Cite"/>
    <w:basedOn w:val="DefaultParagraphFont"/>
    <w:uiPriority w:val="99"/>
    <w:semiHidden/>
    <w:unhideWhenUsed/>
    <w:rsid w:val="00063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2017-04-19T12:16:00Z</dcterms:created>
  <dcterms:modified xsi:type="dcterms:W3CDTF">2017-04-27T11:50:00Z</dcterms:modified>
</cp:coreProperties>
</file>