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7.png" ContentType="image/pn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A000-INDO-Borneo-Dayak-Ancestor-Mask-Wood-1890’s</w:t>
      </w:r>
    </w:p>
    <w:p>
      <w:pPr>
        <w:pStyle w:val="Heading1"/>
        <w:rPr/>
      </w:pPr>
      <w:r>
        <w:rPr/>
        <w:drawing>
          <wp:inline distT="0" distB="0" distL="0" distR="0">
            <wp:extent cx="1929765" cy="27387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9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09445" cy="27266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944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39290" cy="27298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26060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1675" cy="26054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8780" cy="260540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1-6. INDO-Borneo-Dayak-Ancestor-Mask-Wood-1890’s</w:t>
      </w:r>
    </w:p>
    <w:p>
      <w:pPr>
        <w:pStyle w:val="Normal"/>
        <w:rPr/>
      </w:pPr>
      <w:r>
        <w:rPr>
          <w:rStyle w:val="StrongEmphasis"/>
        </w:rPr>
        <w:t>Case No.: 15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INDO-Borneo-Dayak-Ancestor-Mask-Wood-1890’s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The Dayak believed that a shaman under possession of an ancestor could then be asked for advice as to the proper course of action in a world affair. This mask which is fully sculpted in the round depicts an ancestor albeit generically with his lips pursed when he is about to give a pronouncement</w:t>
      </w:r>
      <w:r>
        <w:rPr>
          <w:b/>
        </w:rPr>
        <w:t xml:space="preserve"> </w:t>
      </w:r>
      <w:r>
        <w:rPr/>
        <w:t>as an oracle.</w:t>
      </w:r>
    </w:p>
    <w:p>
      <w:pPr>
        <w:pStyle w:val="Normal"/>
        <w:rPr>
          <w:b/>
          <w:b/>
        </w:rPr>
      </w:pPr>
      <w:r>
        <w:rPr>
          <w:b/>
        </w:rPr>
        <w:t xml:space="preserve">LC Classification: </w:t>
      </w:r>
      <w:r>
        <w:rPr>
          <w:rFonts w:cs="ProximaNova-Regular;Times New Roman" w:ascii="ProximaNova-Regular;Times New Roman" w:hAnsi="ProximaNova-Regular;Times New Roman"/>
          <w:b/>
          <w:bCs/>
          <w:color w:val="333333"/>
          <w:sz w:val="25"/>
          <w:szCs w:val="25"/>
          <w:shd w:fill="D0D2B4" w:val="clear"/>
        </w:rPr>
        <w:t>DS646.32</w:t>
      </w:r>
    </w:p>
    <w:p>
      <w:pPr>
        <w:pStyle w:val="Normal"/>
        <w:rPr>
          <w:b/>
          <w:b/>
        </w:rPr>
      </w:pPr>
      <w:r>
        <w:rPr>
          <w:b/>
        </w:rPr>
        <w:t>Date or Time Horizon: 1890’s</w:t>
      </w:r>
    </w:p>
    <w:p>
      <w:pPr>
        <w:pStyle w:val="Normal"/>
        <w:rPr>
          <w:b/>
          <w:b/>
        </w:rPr>
      </w:pPr>
      <w:r>
        <w:rPr>
          <w:b/>
        </w:rPr>
        <w:t>Geographical Area: Borneo (Kalimantan)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429125" cy="4743450"/>
            <wp:effectExtent l="0" t="0" r="0" b="0"/>
            <wp:docPr id="7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highlight w:val="white"/>
        </w:rPr>
        <w:t>The map of ethnic groups in Borneo (Kalimantan). The map was redrawn and made based on a large map of "Peta Suku Bangsa di Indonesia" displayed in Ethnography Room in National Museum of Indonesia, Jakarta. The image was simply a cropped version highlighting the ethnic groups in Kalimantan from the original.</w:t>
      </w:r>
    </w:p>
    <w:p>
      <w:pPr>
        <w:pStyle w:val="Normal"/>
        <w:rPr>
          <w:b/>
          <w:b/>
          <w:color w:val="222222"/>
          <w:highlight w:val="white"/>
        </w:rPr>
      </w:pPr>
      <w:r>
        <w:rPr>
          <w:b/>
          <w:color w:val="222222"/>
          <w:shd w:fill="F8F9FA" w:val="clear"/>
        </w:rPr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>Cultural Affiliation: Dayak, Kenyah</w:t>
      </w:r>
    </w:p>
    <w:p>
      <w:pPr>
        <w:pStyle w:val="Normal"/>
        <w:rPr>
          <w:b/>
          <w:b/>
        </w:rPr>
      </w:pPr>
      <w:r>
        <w:rPr>
          <w:b/>
        </w:rPr>
        <w:t>Media: wood, pigment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 original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French ethnological collection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Heading1"/>
        <w:shd w:fill="FFFFFF" w:val="clear"/>
        <w:spacing w:before="255" w:after="0"/>
        <w:rPr/>
      </w:pPr>
      <w:r>
        <w:rPr>
          <w:b w:val="false"/>
          <w:color w:val="222222"/>
          <w:sz w:val="24"/>
          <w:szCs w:val="24"/>
          <w:shd w:fill="FFFFFF" w:val="clear"/>
        </w:rPr>
        <w:t>Harrisson, T., 1959. Innermost Borneo: Ten Years' Exploration and Research.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The Geographical Journal</w:t>
      </w:r>
      <w:r>
        <w:rPr>
          <w:b w:val="false"/>
          <w:color w:val="222222"/>
          <w:sz w:val="24"/>
          <w:szCs w:val="24"/>
          <w:shd w:fill="FFFFFF" w:val="clear"/>
        </w:rPr>
        <w:t>,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125</w:t>
      </w:r>
      <w:r>
        <w:rPr>
          <w:b w:val="false"/>
          <w:color w:val="222222"/>
          <w:sz w:val="24"/>
          <w:szCs w:val="24"/>
          <w:shd w:fill="FFFFFF" w:val="clear"/>
        </w:rPr>
        <w:t>(3/4), pp.299-311.</w:t>
      </w:r>
    </w:p>
    <w:p>
      <w:pPr>
        <w:pStyle w:val="Heading1"/>
        <w:shd w:fill="FFFFFF" w:val="clear"/>
        <w:spacing w:before="255" w:after="0"/>
        <w:rPr/>
      </w:pPr>
      <w:r>
        <w:rPr>
          <w:b w:val="false"/>
          <w:color w:val="222222"/>
          <w:sz w:val="24"/>
          <w:szCs w:val="24"/>
          <w:shd w:fill="FFFFFF" w:val="clear"/>
        </w:rPr>
        <w:t>Harrisson, T., 1964. Inside Borneo: The Dickson Asia Lecture.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The Geographical Journal</w:t>
      </w:r>
      <w:r>
        <w:rPr>
          <w:b w:val="false"/>
          <w:color w:val="222222"/>
          <w:sz w:val="24"/>
          <w:szCs w:val="24"/>
          <w:shd w:fill="FFFFFF" w:val="clear"/>
        </w:rPr>
        <w:t>,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130</w:t>
      </w:r>
      <w:r>
        <w:rPr>
          <w:b w:val="false"/>
          <w:color w:val="222222"/>
          <w:sz w:val="24"/>
          <w:szCs w:val="24"/>
          <w:shd w:fill="FFFFFF" w:val="clear"/>
        </w:rPr>
        <w:t>(3), pp.329-336.</w:t>
      </w:r>
    </w:p>
    <w:p>
      <w:pPr>
        <w:pStyle w:val="Heading1"/>
        <w:shd w:fill="FFFFFF" w:val="clear"/>
        <w:spacing w:before="255" w:after="0"/>
        <w:rPr>
          <w:b w:val="false"/>
          <w:b w:val="false"/>
          <w:color w:val="222222"/>
          <w:sz w:val="24"/>
          <w:szCs w:val="24"/>
          <w:highlight w:val="white"/>
        </w:rPr>
      </w:pPr>
      <w:r>
        <w:rPr>
          <w:b w:val="false"/>
          <w:color w:val="222222"/>
          <w:sz w:val="24"/>
          <w:szCs w:val="24"/>
          <w:shd w:fill="FFFFFF" w:val="clear"/>
        </w:rPr>
        <w:t>KNAPEN, H., 2003. Innermost Borneo; Studies in Dayak cultures.</w:t>
      </w:r>
    </w:p>
    <w:p>
      <w:pPr>
        <w:pStyle w:val="Heading1"/>
        <w:shd w:fill="FFFFFF" w:val="clear"/>
        <w:spacing w:before="255" w:after="0"/>
        <w:rPr/>
      </w:pPr>
      <w:r>
        <w:rPr>
          <w:b w:val="false"/>
          <w:color w:val="222222"/>
          <w:sz w:val="24"/>
          <w:szCs w:val="24"/>
          <w:shd w:fill="FFFFFF" w:val="clear"/>
        </w:rPr>
        <w:t>Sather, C., 2003. Innermost Borneo: Studies in Dayak Cultures.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Asian Ethnology</w:t>
      </w:r>
      <w:r>
        <w:rPr>
          <w:b w:val="false"/>
          <w:color w:val="222222"/>
          <w:sz w:val="24"/>
          <w:szCs w:val="24"/>
          <w:shd w:fill="FFFFFF" w:val="clear"/>
        </w:rPr>
        <w:t>,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62</w:t>
      </w:r>
      <w:r>
        <w:rPr>
          <w:b w:val="false"/>
          <w:color w:val="222222"/>
          <w:sz w:val="24"/>
          <w:szCs w:val="24"/>
          <w:shd w:fill="FFFFFF" w:val="clear"/>
        </w:rPr>
        <w:t>(2), p.349.</w:t>
      </w:r>
    </w:p>
    <w:p>
      <w:pPr>
        <w:pStyle w:val="Heading1"/>
        <w:shd w:fill="FFFFFF" w:val="clear"/>
        <w:spacing w:before="255" w:after="0"/>
        <w:rPr/>
      </w:pPr>
      <w:r>
        <w:rPr>
          <w:b w:val="false"/>
          <w:color w:val="222222"/>
          <w:sz w:val="24"/>
          <w:szCs w:val="24"/>
          <w:shd w:fill="FFFFFF" w:val="clear"/>
        </w:rPr>
        <w:t>Sellato, B., 2002. How Tribes Come into Being: The Ethnogenesis of the Aoheng. </w:t>
      </w:r>
      <w:r>
        <w:rPr>
          <w:b w:val="false"/>
          <w:i/>
          <w:iCs/>
          <w:color w:val="222222"/>
          <w:sz w:val="24"/>
          <w:szCs w:val="24"/>
          <w:shd w:fill="FFFFFF" w:val="clear"/>
        </w:rPr>
        <w:t>Innermost Borneo: Studies in Dayak Culture</w:t>
      </w:r>
      <w:r>
        <w:rPr>
          <w:b w:val="false"/>
          <w:color w:val="222222"/>
          <w:sz w:val="24"/>
          <w:szCs w:val="24"/>
          <w:shd w:fill="FFFFFF" w:val="clear"/>
        </w:rPr>
        <w:t>, pp.163-194.</w:t>
      </w:r>
    </w:p>
    <w:p>
      <w:pPr>
        <w:pStyle w:val="Heading1"/>
        <w:shd w:fill="FFFFFF" w:val="clear"/>
        <w:spacing w:before="255" w:after="0"/>
        <w:rPr>
          <w:rFonts w:ascii="Arial" w:hAnsi="Arial" w:cs="Arial"/>
          <w:b w:val="false"/>
          <w:b w:val="false"/>
          <w:color w:val="222222"/>
          <w:sz w:val="20"/>
          <w:szCs w:val="20"/>
          <w:highlight w:val="white"/>
        </w:rPr>
      </w:pPr>
      <w:r>
        <w:rPr>
          <w:rFonts w:cs="Arial" w:ascii="Arial" w:hAnsi="Arial"/>
          <w:b w:val="false"/>
          <w:color w:val="222222"/>
          <w:sz w:val="20"/>
          <w:szCs w:val="20"/>
          <w:shd w:fill="FFFFFF" w:val="clear"/>
        </w:rPr>
      </w:r>
    </w:p>
    <w:p>
      <w:pPr>
        <w:pStyle w:val="Heading1"/>
        <w:shd w:fill="FFFFFF" w:val="clear"/>
        <w:spacing w:before="255" w:after="0"/>
        <w:rPr>
          <w:rFonts w:ascii="Arial" w:hAnsi="Arial" w:cs="Arial"/>
          <w:b w:val="false"/>
          <w:b w:val="false"/>
          <w:color w:val="222222"/>
          <w:sz w:val="20"/>
          <w:szCs w:val="20"/>
          <w:highlight w:val="white"/>
        </w:rPr>
      </w:pPr>
      <w:r>
        <w:rPr>
          <w:rFonts w:cs="Arial" w:ascii="Arial" w:hAnsi="Arial"/>
          <w:b w:val="false"/>
          <w:color w:val="222222"/>
          <w:sz w:val="20"/>
          <w:szCs w:val="20"/>
          <w:shd w:fill="FFFFFF" w:val="clear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roximaNova-Regular">
    <w:altName w:val="Times New Roman"/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Heading1Char">
    <w:name w:val="Heading 1 Char"/>
    <w:qFormat/>
    <w:rPr>
      <w:b/>
      <w:bCs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2018-08-04T16:59:00Z</dcterms:created>
  <dc:creator>owner</dc:creator>
  <dc:description/>
  <cp:keywords/>
  <dc:language>en-US</dc:language>
  <cp:lastModifiedBy>Ralph Coffman</cp:lastModifiedBy>
  <dcterms:modified xsi:type="dcterms:W3CDTF">2018-08-04T16:59:00Z</dcterms:modified>
  <cp:revision>2</cp:revision>
  <dc:subject/>
  <dc:title>DIS-INDO-Borneo-Mask</dc:title>
</cp:coreProperties>
</file>