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8AB" w:rsidRPr="00365B9D" w:rsidRDefault="00365B9D" w:rsidP="00147512">
      <w:pPr>
        <w:spacing w:after="0"/>
      </w:pPr>
      <w:r w:rsidRPr="00365B9D">
        <w:t>A000</w:t>
      </w:r>
      <w:r w:rsidR="005458AB" w:rsidRPr="00365B9D">
        <w:t>-Indo-Sulawesi-Tora</w:t>
      </w:r>
      <w:bookmarkStart w:id="0" w:name="_GoBack"/>
      <w:r w:rsidR="005458AB" w:rsidRPr="00365B9D">
        <w:t>ja-Grave guardian</w:t>
      </w:r>
      <w:r w:rsidRPr="00365B9D">
        <w:t>-early 20</w:t>
      </w:r>
      <w:r w:rsidRPr="00365B9D">
        <w:rPr>
          <w:vertAlign w:val="superscript"/>
        </w:rPr>
        <w:t>th</w:t>
      </w:r>
      <w:r w:rsidRPr="00365B9D">
        <w:t xml:space="preserve"> century</w:t>
      </w:r>
    </w:p>
    <w:p w:rsidR="005458AB" w:rsidRPr="00365B9D" w:rsidRDefault="005458AB" w:rsidP="00147512">
      <w:pPr>
        <w:spacing w:after="0"/>
      </w:pPr>
      <w:r w:rsidRPr="00365B9D">
        <w:rPr>
          <w:noProof/>
        </w:rPr>
        <w:drawing>
          <wp:inline distT="0" distB="0" distL="0" distR="0">
            <wp:extent cx="2860675" cy="3810000"/>
            <wp:effectExtent l="0" t="0" r="0" b="0"/>
            <wp:docPr id="1" name="Picture 1"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69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365B9D">
        <w:t xml:space="preserve"> </w:t>
      </w:r>
      <w:r w:rsidR="000C566F" w:rsidRPr="00365B9D">
        <w:rPr>
          <w:noProof/>
        </w:rPr>
        <w:drawing>
          <wp:inline distT="0" distB="0" distL="0" distR="0">
            <wp:extent cx="2860675" cy="3810000"/>
            <wp:effectExtent l="0" t="0" r="0" b="0"/>
            <wp:docPr id="2" name="Picture 2"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6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365B9D">
        <w:t xml:space="preserve"> </w:t>
      </w:r>
      <w:r w:rsidR="000C566F" w:rsidRPr="00365B9D">
        <w:rPr>
          <w:noProof/>
        </w:rPr>
        <w:drawing>
          <wp:inline distT="0" distB="0" distL="0" distR="0">
            <wp:extent cx="2860675" cy="3810000"/>
            <wp:effectExtent l="0" t="0" r="0" b="0"/>
            <wp:docPr id="3" name="Picture 3"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86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365B9D">
        <w:t xml:space="preserve"> </w:t>
      </w:r>
      <w:r w:rsidR="000C566F" w:rsidRPr="00365B9D">
        <w:rPr>
          <w:noProof/>
        </w:rPr>
        <w:drawing>
          <wp:inline distT="0" distB="0" distL="0" distR="0">
            <wp:extent cx="2860675" cy="3810000"/>
            <wp:effectExtent l="0" t="0" r="0" b="0"/>
            <wp:docPr id="4" name="Picture 4"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61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p>
    <w:p w:rsidR="00365B9D" w:rsidRPr="00365B9D" w:rsidRDefault="00365B9D" w:rsidP="00147512">
      <w:pPr>
        <w:spacing w:after="0"/>
        <w:rPr>
          <w:rStyle w:val="Strong"/>
        </w:rPr>
      </w:pPr>
      <w:r w:rsidRPr="00365B9D">
        <w:rPr>
          <w:rStyle w:val="Strong"/>
        </w:rPr>
        <w:t xml:space="preserve">Figs. 1-4. </w:t>
      </w:r>
      <w:r w:rsidRPr="00365B9D">
        <w:t>Sulawesi-</w:t>
      </w:r>
      <w:proofErr w:type="spellStart"/>
      <w:r w:rsidRPr="00365B9D">
        <w:t>Toraja</w:t>
      </w:r>
      <w:proofErr w:type="spellEnd"/>
      <w:r w:rsidRPr="00365B9D">
        <w:t>-Grave guardian-early 20</w:t>
      </w:r>
      <w:r w:rsidRPr="00365B9D">
        <w:rPr>
          <w:vertAlign w:val="superscript"/>
        </w:rPr>
        <w:t>th</w:t>
      </w:r>
      <w:r w:rsidRPr="00365B9D">
        <w:t xml:space="preserve"> century</w:t>
      </w:r>
      <w:r w:rsidRPr="00365B9D">
        <w:rPr>
          <w:rStyle w:val="Strong"/>
        </w:rPr>
        <w:t xml:space="preserve"> </w:t>
      </w:r>
    </w:p>
    <w:p w:rsidR="00365B9D" w:rsidRPr="00365B9D" w:rsidRDefault="00365B9D" w:rsidP="00147512">
      <w:pPr>
        <w:spacing w:after="0"/>
        <w:rPr>
          <w:rStyle w:val="Strong"/>
        </w:rPr>
      </w:pPr>
      <w:r w:rsidRPr="00365B9D">
        <w:rPr>
          <w:rStyle w:val="Strong"/>
        </w:rPr>
        <w:t>Case no.:</w:t>
      </w:r>
      <w:r>
        <w:rPr>
          <w:rStyle w:val="Strong"/>
        </w:rPr>
        <w:t xml:space="preserve"> Oceania</w:t>
      </w:r>
    </w:p>
    <w:p w:rsidR="00365B9D" w:rsidRPr="00365B9D" w:rsidRDefault="00365B9D" w:rsidP="00147512">
      <w:pPr>
        <w:spacing w:after="0"/>
        <w:rPr>
          <w:rStyle w:val="Strong"/>
        </w:rPr>
      </w:pPr>
      <w:r w:rsidRPr="00365B9D">
        <w:rPr>
          <w:rStyle w:val="Strong"/>
        </w:rPr>
        <w:lastRenderedPageBreak/>
        <w:t>Accession Number:</w:t>
      </w:r>
      <w:r>
        <w:rPr>
          <w:rStyle w:val="Strong"/>
        </w:rPr>
        <w:t xml:space="preserve"> A000</w:t>
      </w:r>
    </w:p>
    <w:p w:rsidR="007709BF" w:rsidRPr="00515E9D" w:rsidRDefault="00365B9D" w:rsidP="00147512">
      <w:pPr>
        <w:spacing w:after="0"/>
        <w:rPr>
          <w:rStyle w:val="Strong"/>
          <w:b w:val="0"/>
          <w:bCs w:val="0"/>
        </w:rPr>
      </w:pPr>
      <w:r w:rsidRPr="007709BF">
        <w:rPr>
          <w:b/>
        </w:rPr>
        <w:t>Formal Label:</w:t>
      </w:r>
      <w:r w:rsidRPr="00515E9D">
        <w:t xml:space="preserve"> Sulawesi-</w:t>
      </w:r>
      <w:proofErr w:type="spellStart"/>
      <w:r w:rsidR="00515E9D" w:rsidRPr="00515E9D">
        <w:t>Toraja</w:t>
      </w:r>
      <w:proofErr w:type="spellEnd"/>
      <w:r w:rsidR="00515E9D">
        <w:t>-</w:t>
      </w:r>
      <w:r w:rsidR="00515E9D" w:rsidRPr="00515E9D">
        <w:t xml:space="preserve"> </w:t>
      </w:r>
      <w:proofErr w:type="spellStart"/>
      <w:r w:rsidR="00515E9D" w:rsidRPr="00515E9D">
        <w:t>Kabupaten</w:t>
      </w:r>
      <w:proofErr w:type="spellEnd"/>
      <w:r w:rsidR="00515E9D" w:rsidRPr="00515E9D">
        <w:t xml:space="preserve"> Tana</w:t>
      </w:r>
      <w:r w:rsidR="00515E9D">
        <w:t>-</w:t>
      </w:r>
      <w:r w:rsidR="00BC59A9" w:rsidRPr="00BC59A9">
        <w:t>Tau tau-</w:t>
      </w:r>
      <w:r w:rsidRPr="00365B9D">
        <w:t>Grave guardian-early 20</w:t>
      </w:r>
      <w:r w:rsidRPr="00365B9D">
        <w:rPr>
          <w:vertAlign w:val="superscript"/>
        </w:rPr>
        <w:t>th</w:t>
      </w:r>
      <w:r w:rsidRPr="00365B9D">
        <w:t xml:space="preserve"> century</w:t>
      </w:r>
    </w:p>
    <w:p w:rsidR="00365B9D" w:rsidRDefault="00365B9D" w:rsidP="00147512">
      <w:pPr>
        <w:spacing w:after="0"/>
        <w:rPr>
          <w:b/>
          <w:bCs/>
        </w:rPr>
      </w:pPr>
      <w:r w:rsidRPr="00365B9D">
        <w:rPr>
          <w:b/>
          <w:bCs/>
        </w:rPr>
        <w:t>Display Description:</w:t>
      </w:r>
      <w:r>
        <w:rPr>
          <w:b/>
          <w:bCs/>
        </w:rPr>
        <w:t xml:space="preserve"> </w:t>
      </w:r>
    </w:p>
    <w:p w:rsidR="00D154BE" w:rsidRDefault="00D154BE" w:rsidP="00147512">
      <w:pPr>
        <w:autoSpaceDE w:val="0"/>
        <w:autoSpaceDN w:val="0"/>
        <w:adjustRightInd w:val="0"/>
        <w:spacing w:after="0" w:line="240" w:lineRule="auto"/>
        <w:rPr>
          <w:rFonts w:eastAsia="Code2000"/>
        </w:rPr>
      </w:pPr>
      <w:r w:rsidRPr="00D63072">
        <w:t xml:space="preserve">The </w:t>
      </w:r>
      <w:proofErr w:type="spellStart"/>
      <w:r w:rsidRPr="00D63072">
        <w:t>Toraja</w:t>
      </w:r>
      <w:proofErr w:type="spellEnd"/>
      <w:r w:rsidRPr="00D63072">
        <w:t xml:space="preserve">, who </w:t>
      </w:r>
      <w:r w:rsidRPr="00D63072">
        <w:rPr>
          <w:rFonts w:eastAsia="Code2000"/>
        </w:rPr>
        <w:t xml:space="preserve">live in Central and South </w:t>
      </w:r>
      <w:r w:rsidRPr="00D63072">
        <w:rPr>
          <w:bCs/>
        </w:rPr>
        <w:t>Sulawesi</w:t>
      </w:r>
      <w:r w:rsidRPr="00D63072">
        <w:t xml:space="preserve">, formerly known as the </w:t>
      </w:r>
      <w:r w:rsidRPr="00D63072">
        <w:rPr>
          <w:bCs/>
        </w:rPr>
        <w:t>Celebes,</w:t>
      </w:r>
      <w:r w:rsidRPr="00D63072">
        <w:rPr>
          <w:rFonts w:eastAsia="Code2000"/>
        </w:rPr>
        <w:t xml:space="preserve"> speak an </w:t>
      </w:r>
      <w:r w:rsidRPr="004E6508">
        <w:rPr>
          <w:rFonts w:eastAsia="Code2000"/>
        </w:rPr>
        <w:t xml:space="preserve">Austronesian, Malayo-Polynesian language and have an animist religion (Gordon 2005: 434). Their neighbors, the </w:t>
      </w:r>
      <w:proofErr w:type="spellStart"/>
      <w:r w:rsidRPr="004E6508">
        <w:rPr>
          <w:rFonts w:eastAsia="Code2000"/>
        </w:rPr>
        <w:t>Bugis</w:t>
      </w:r>
      <w:proofErr w:type="spellEnd"/>
      <w:r w:rsidRPr="004E6508">
        <w:rPr>
          <w:rFonts w:eastAsia="Code2000"/>
        </w:rPr>
        <w:t xml:space="preserve">, are also </w:t>
      </w:r>
      <w:r w:rsidRPr="004E6508">
        <w:t xml:space="preserve">an Austronesian-speaking people with an animist religion, </w:t>
      </w:r>
      <w:proofErr w:type="spellStart"/>
      <w:r w:rsidRPr="004E6508">
        <w:t>Tolotang</w:t>
      </w:r>
      <w:proofErr w:type="spellEnd"/>
      <w:r w:rsidRPr="004E6508">
        <w:t>. Both groups had migrated to south Sulawesi around 2500 BCE from Taiwan after first emigrating from south China (Wen and Chen 2008). Thus, they were part of the Austronesian expansion that ultimately led to the Polynesian migrations into the Pacific islands.</w:t>
      </w:r>
      <w:r w:rsidRPr="004E6508">
        <w:rPr>
          <w:rFonts w:eastAsia="Code2000"/>
        </w:rPr>
        <w:t xml:space="preserve"> The </w:t>
      </w:r>
      <w:proofErr w:type="spellStart"/>
      <w:r w:rsidRPr="004E6508">
        <w:rPr>
          <w:rFonts w:eastAsia="Code2000"/>
        </w:rPr>
        <w:t>Bugis</w:t>
      </w:r>
      <w:proofErr w:type="spellEnd"/>
      <w:r w:rsidRPr="004E6508">
        <w:rPr>
          <w:rFonts w:eastAsia="Code2000"/>
        </w:rPr>
        <w:t xml:space="preserve"> call the </w:t>
      </w:r>
      <w:proofErr w:type="spellStart"/>
      <w:r w:rsidRPr="004E6508">
        <w:rPr>
          <w:rFonts w:eastAsia="Code2000"/>
        </w:rPr>
        <w:t>Sa'dan-</w:t>
      </w:r>
      <w:r w:rsidRPr="004E6508">
        <w:t>Toraja</w:t>
      </w:r>
      <w:proofErr w:type="spellEnd"/>
      <w:r w:rsidRPr="004E6508">
        <w:rPr>
          <w:rFonts w:eastAsia="Code2000"/>
        </w:rPr>
        <w:t>, To-</w:t>
      </w:r>
      <w:proofErr w:type="spellStart"/>
      <w:r w:rsidRPr="004E6508">
        <w:rPr>
          <w:rFonts w:eastAsia="Code2000"/>
        </w:rPr>
        <w:t>ri</w:t>
      </w:r>
      <w:proofErr w:type="spellEnd"/>
      <w:r w:rsidRPr="004E6508">
        <w:rPr>
          <w:rFonts w:eastAsia="Code2000"/>
        </w:rPr>
        <w:t>-</w:t>
      </w:r>
      <w:proofErr w:type="spellStart"/>
      <w:r w:rsidRPr="004E6508">
        <w:rPr>
          <w:rFonts w:eastAsia="Code2000"/>
        </w:rPr>
        <w:t>aja</w:t>
      </w:r>
      <w:proofErr w:type="spellEnd"/>
      <w:r w:rsidRPr="004E6508">
        <w:rPr>
          <w:rFonts w:eastAsia="Code2000"/>
        </w:rPr>
        <w:t xml:space="preserve"> (To-</w:t>
      </w:r>
      <w:proofErr w:type="spellStart"/>
      <w:r w:rsidRPr="004E6508">
        <w:rPr>
          <w:rFonts w:eastAsia="Code2000"/>
        </w:rPr>
        <w:t>ri</w:t>
      </w:r>
      <w:proofErr w:type="spellEnd"/>
      <w:r w:rsidRPr="004E6508">
        <w:rPr>
          <w:rFonts w:eastAsia="Code2000"/>
        </w:rPr>
        <w:t>-</w:t>
      </w:r>
      <w:proofErr w:type="spellStart"/>
      <w:r w:rsidRPr="004E6508">
        <w:rPr>
          <w:rFonts w:eastAsia="Code2000"/>
        </w:rPr>
        <w:t>adja</w:t>
      </w:r>
      <w:proofErr w:type="spellEnd"/>
      <w:r w:rsidRPr="004E6508">
        <w:rPr>
          <w:rFonts w:eastAsia="Code2000"/>
        </w:rPr>
        <w:t xml:space="preserve">) that literally means “people from the interior” where there are many mountains up to 3,000 m high. So the </w:t>
      </w:r>
      <w:proofErr w:type="spellStart"/>
      <w:r w:rsidRPr="004E6508">
        <w:rPr>
          <w:rFonts w:eastAsia="Code2000"/>
        </w:rPr>
        <w:t>Toraja</w:t>
      </w:r>
      <w:proofErr w:type="spellEnd"/>
      <w:r w:rsidRPr="004E6508">
        <w:rPr>
          <w:rFonts w:eastAsia="Code2000"/>
        </w:rPr>
        <w:t xml:space="preserve"> are also considered mountain people. When the English arrived, they thought the </w:t>
      </w:r>
      <w:proofErr w:type="spellStart"/>
      <w:r w:rsidRPr="004E6508">
        <w:rPr>
          <w:rFonts w:eastAsia="Code2000"/>
        </w:rPr>
        <w:t>Toraja’s</w:t>
      </w:r>
      <w:proofErr w:type="spellEnd"/>
      <w:r w:rsidRPr="004E6508">
        <w:rPr>
          <w:rFonts w:eastAsia="Code2000"/>
        </w:rPr>
        <w:t xml:space="preserve"> name denoted a place “To” Raja”, but in Indonesian “raja” means "king" or "ruler,” so when the British referred to these people  as people of raja they were in a sense called "people of high rank." To the </w:t>
      </w:r>
      <w:proofErr w:type="spellStart"/>
      <w:r w:rsidRPr="004E6508">
        <w:rPr>
          <w:rFonts w:eastAsia="Code2000"/>
        </w:rPr>
        <w:t>Toraja</w:t>
      </w:r>
      <w:proofErr w:type="spellEnd"/>
      <w:r w:rsidRPr="004E6508">
        <w:rPr>
          <w:rFonts w:eastAsia="Code2000"/>
        </w:rPr>
        <w:t>, themselves, “raja” means “magnificent” or “handsome”. Thus, these three meanings of “</w:t>
      </w:r>
      <w:proofErr w:type="spellStart"/>
      <w:r w:rsidRPr="004E6508">
        <w:rPr>
          <w:rFonts w:eastAsia="Code2000"/>
        </w:rPr>
        <w:t>Toraja</w:t>
      </w:r>
      <w:proofErr w:type="spellEnd"/>
      <w:r w:rsidRPr="004E6508">
        <w:rPr>
          <w:rFonts w:eastAsia="Code2000"/>
        </w:rPr>
        <w:t>” coalesce in referring to these people as “handsome people of high rank from the mountains”.</w:t>
      </w:r>
    </w:p>
    <w:p w:rsidR="00D154BE" w:rsidRPr="002343A9" w:rsidRDefault="00D154BE" w:rsidP="00147512">
      <w:pPr>
        <w:autoSpaceDE w:val="0"/>
        <w:autoSpaceDN w:val="0"/>
        <w:adjustRightInd w:val="0"/>
        <w:spacing w:after="0" w:line="240" w:lineRule="auto"/>
        <w:rPr>
          <w:rFonts w:eastAsia="Code2000"/>
        </w:rPr>
      </w:pPr>
      <w:r>
        <w:rPr>
          <w:rFonts w:eastAsia="Code2000"/>
        </w:rPr>
        <w:tab/>
      </w:r>
      <w:r w:rsidRPr="002343A9">
        <w:rPr>
          <w:rFonts w:eastAsia="Code2000"/>
        </w:rPr>
        <w:t xml:space="preserve">Although recent demographic figures are not available we do have the following statistics. </w:t>
      </w:r>
      <w:r w:rsidRPr="002343A9">
        <w:t xml:space="preserve">There were about 325,000 </w:t>
      </w:r>
      <w:proofErr w:type="spellStart"/>
      <w:r w:rsidRPr="002343A9">
        <w:t>Torajans</w:t>
      </w:r>
      <w:proofErr w:type="spellEnd"/>
      <w:r w:rsidRPr="002343A9">
        <w:t xml:space="preserve"> (</w:t>
      </w:r>
      <w:proofErr w:type="spellStart"/>
      <w:r w:rsidRPr="002343A9">
        <w:t>Nooy</w:t>
      </w:r>
      <w:proofErr w:type="spellEnd"/>
      <w:r w:rsidRPr="002343A9">
        <w:t xml:space="preserve">-Palm in </w:t>
      </w:r>
      <w:proofErr w:type="spellStart"/>
      <w:r w:rsidRPr="002343A9">
        <w:t>Eliade</w:t>
      </w:r>
      <w:proofErr w:type="spellEnd"/>
      <w:r w:rsidRPr="002343A9">
        <w:t xml:space="preserve"> 1987, Vol. 14, 565). In 1975 half of these </w:t>
      </w:r>
      <w:proofErr w:type="spellStart"/>
      <w:r w:rsidRPr="002343A9">
        <w:t>practised</w:t>
      </w:r>
      <w:proofErr w:type="spellEnd"/>
      <w:r w:rsidRPr="002343A9">
        <w:t xml:space="preserve"> </w:t>
      </w:r>
      <w:proofErr w:type="spellStart"/>
      <w:r w:rsidRPr="002343A9">
        <w:t>Aluk</w:t>
      </w:r>
      <w:proofErr w:type="spellEnd"/>
      <w:r w:rsidRPr="002343A9">
        <w:t xml:space="preserve"> </w:t>
      </w:r>
      <w:proofErr w:type="gramStart"/>
      <w:r w:rsidRPr="002343A9">
        <w:t>To</w:t>
      </w:r>
      <w:proofErr w:type="gramEnd"/>
      <w:r w:rsidRPr="002343A9">
        <w:t xml:space="preserve"> </w:t>
      </w:r>
      <w:proofErr w:type="spellStart"/>
      <w:r w:rsidRPr="002343A9">
        <w:t>Dolo</w:t>
      </w:r>
      <w:proofErr w:type="spellEnd"/>
      <w:r w:rsidRPr="002343A9">
        <w:t>. Now this is estimated to be only 30 per cent. Of the remainder 60 per cent are Christian and 10 per cent Muslim (Dalton 1988, 845).</w:t>
      </w:r>
    </w:p>
    <w:p w:rsidR="00D154BE" w:rsidRDefault="00D154BE" w:rsidP="00147512">
      <w:pPr>
        <w:spacing w:after="0"/>
        <w:rPr>
          <w:b/>
          <w:bCs/>
        </w:rPr>
      </w:pPr>
    </w:p>
    <w:p w:rsidR="00BC59A9" w:rsidRPr="00BC59A9" w:rsidRDefault="00BC59A9" w:rsidP="00147512">
      <w:pPr>
        <w:spacing w:after="0"/>
      </w:pPr>
      <w:r w:rsidRPr="00BC59A9">
        <w:t xml:space="preserve">Tau </w:t>
      </w:r>
      <w:proofErr w:type="spellStart"/>
      <w:r w:rsidRPr="00BC59A9">
        <w:t>tau</w:t>
      </w:r>
      <w:proofErr w:type="spellEnd"/>
      <w:r w:rsidR="00515E9D">
        <w:t xml:space="preserve"> are an </w:t>
      </w:r>
      <w:r w:rsidRPr="00515E9D">
        <w:t>effigy</w:t>
      </w:r>
      <w:r w:rsidRPr="00BC59A9">
        <w:t> </w:t>
      </w:r>
      <w:r w:rsidR="00515E9D" w:rsidRPr="00BC59A9">
        <w:t xml:space="preserve">believed to have originated in the 19th century </w:t>
      </w:r>
      <w:r w:rsidRPr="00BC59A9">
        <w:t>made of wood or </w:t>
      </w:r>
      <w:r w:rsidRPr="00515E9D">
        <w:t>bamboo</w:t>
      </w:r>
      <w:r w:rsidRPr="00BC59A9">
        <w:t xml:space="preserve"> particular to the </w:t>
      </w:r>
      <w:proofErr w:type="spellStart"/>
      <w:r w:rsidRPr="00515E9D">
        <w:t>Toraja</w:t>
      </w:r>
      <w:proofErr w:type="spellEnd"/>
      <w:r w:rsidRPr="00BC59A9">
        <w:t> ethnic group in </w:t>
      </w:r>
      <w:r w:rsidRPr="00515E9D">
        <w:t>South Sulawesi</w:t>
      </w:r>
      <w:r w:rsidRPr="00BC59A9">
        <w:t>, </w:t>
      </w:r>
      <w:r w:rsidRPr="00515E9D">
        <w:t>Indonesia</w:t>
      </w:r>
      <w:r w:rsidRPr="00BC59A9">
        <w:t xml:space="preserve">. The word "tau" means "man", and "tau </w:t>
      </w:r>
      <w:proofErr w:type="spellStart"/>
      <w:r w:rsidRPr="00BC59A9">
        <w:t>tau</w:t>
      </w:r>
      <w:proofErr w:type="spellEnd"/>
      <w:r w:rsidRPr="00BC59A9">
        <w:t>" means "men" or "statue</w:t>
      </w:r>
      <w:r w:rsidR="00515E9D">
        <w:t>” (Blanche 2011).</w:t>
      </w:r>
    </w:p>
    <w:p w:rsidR="00BC59A9" w:rsidRPr="00BC59A9" w:rsidRDefault="00BC59A9" w:rsidP="00147512">
      <w:pPr>
        <w:spacing w:after="0"/>
      </w:pPr>
      <w:r w:rsidRPr="00BC59A9">
        <w:t>They were once produced only for the wealthy, to reflect the status and wealth of the deceased</w:t>
      </w:r>
      <w:r w:rsidR="00515E9D">
        <w:t xml:space="preserve"> (</w:t>
      </w:r>
      <w:proofErr w:type="spellStart"/>
      <w:r w:rsidR="00515E9D">
        <w:t>Sammut</w:t>
      </w:r>
      <w:proofErr w:type="spellEnd"/>
      <w:r w:rsidR="00515E9D">
        <w:t xml:space="preserve"> 2009).</w:t>
      </w:r>
      <w:r w:rsidRPr="00BC59A9">
        <w:t xml:space="preserve"> The tau </w:t>
      </w:r>
      <w:proofErr w:type="spellStart"/>
      <w:r w:rsidRPr="00BC59A9">
        <w:t>tau</w:t>
      </w:r>
      <w:proofErr w:type="spellEnd"/>
      <w:r w:rsidRPr="00BC59A9">
        <w:t xml:space="preserve"> are carved to show the gender of the deceased</w:t>
      </w:r>
      <w:r w:rsidR="00515E9D">
        <w:t xml:space="preserve"> as well as</w:t>
      </w:r>
      <w:r w:rsidRPr="00BC59A9">
        <w:t xml:space="preserve"> </w:t>
      </w:r>
      <w:r w:rsidR="00515E9D">
        <w:t>imitating</w:t>
      </w:r>
      <w:r w:rsidRPr="00BC59A9">
        <w:t xml:space="preserve"> the likeness of the deceased. Nowadays, tau </w:t>
      </w:r>
      <w:proofErr w:type="spellStart"/>
      <w:r w:rsidRPr="00BC59A9">
        <w:t>tau</w:t>
      </w:r>
      <w:proofErr w:type="spellEnd"/>
      <w:r w:rsidRPr="00BC59A9">
        <w:t xml:space="preserve"> have photographic likeness to the people they represent. They are carved with wrinkles and carry items like Bibles</w:t>
      </w:r>
      <w:r w:rsidR="00515E9D">
        <w:t xml:space="preserve"> (Adams 2006)</w:t>
      </w:r>
    </w:p>
    <w:p w:rsidR="00377940" w:rsidRDefault="00BC59A9" w:rsidP="00147512">
      <w:pPr>
        <w:spacing w:after="0"/>
      </w:pPr>
      <w:r w:rsidRPr="00BC59A9">
        <w:t xml:space="preserve">The types of wood used for the effigies and what they are clothed in also reflect the status and wealth of the deceased. Tau </w:t>
      </w:r>
      <w:proofErr w:type="spellStart"/>
      <w:r w:rsidRPr="00BC59A9">
        <w:t>tau</w:t>
      </w:r>
      <w:proofErr w:type="spellEnd"/>
      <w:r w:rsidRPr="00BC59A9">
        <w:t xml:space="preserve"> of the wealthy would generally be made of wood from the jackfruit tree</w:t>
      </w:r>
      <w:r w:rsidR="00D154BE">
        <w:t xml:space="preserve"> </w:t>
      </w:r>
      <w:r w:rsidR="00D154BE" w:rsidRPr="00D154BE">
        <w:t>(</w:t>
      </w:r>
      <w:proofErr w:type="spellStart"/>
      <w:r w:rsidR="00D154BE" w:rsidRPr="00D154BE">
        <w:rPr>
          <w:i/>
        </w:rPr>
        <w:t>Artocarpus</w:t>
      </w:r>
      <w:proofErr w:type="spellEnd"/>
      <w:r w:rsidR="00D154BE" w:rsidRPr="00D154BE">
        <w:rPr>
          <w:i/>
        </w:rPr>
        <w:t xml:space="preserve"> </w:t>
      </w:r>
      <w:proofErr w:type="spellStart"/>
      <w:r w:rsidR="00D154BE" w:rsidRPr="00D154BE">
        <w:rPr>
          <w:i/>
        </w:rPr>
        <w:t>heterophyllus</w:t>
      </w:r>
      <w:proofErr w:type="spellEnd"/>
      <w:r w:rsidR="00D154BE" w:rsidRPr="00D154BE">
        <w:t>)</w:t>
      </w:r>
      <w:r w:rsidRPr="00D154BE">
        <w:t xml:space="preserve">. </w:t>
      </w:r>
      <w:r w:rsidRPr="00BC59A9">
        <w:t xml:space="preserve">They are usually permanent statues that can be found standing at the entrance of tombs, which are carved out of rock faces of </w:t>
      </w:r>
      <w:proofErr w:type="spellStart"/>
      <w:r w:rsidRPr="00BC59A9">
        <w:t>Toraja</w:t>
      </w:r>
      <w:proofErr w:type="spellEnd"/>
      <w:r w:rsidRPr="00BC59A9">
        <w:t xml:space="preserve">. Their position, in reference to the other tau </w:t>
      </w:r>
      <w:proofErr w:type="spellStart"/>
      <w:r w:rsidRPr="00BC59A9">
        <w:t>tau</w:t>
      </w:r>
      <w:proofErr w:type="spellEnd"/>
      <w:r w:rsidRPr="00BC59A9">
        <w:t>, in the rock face would indicate the status of the deceased. The cave builders usually require payment of several buffalos that only the sufficiently wealthy can afford</w:t>
      </w:r>
      <w:r w:rsidR="007709BF">
        <w:t xml:space="preserve"> (Blanche 2011).</w:t>
      </w:r>
      <w:r w:rsidRPr="00BC59A9">
        <w:t xml:space="preserve">The less wealthy elites generally have their tau </w:t>
      </w:r>
      <w:proofErr w:type="spellStart"/>
      <w:r w:rsidRPr="00BC59A9">
        <w:t>tau</w:t>
      </w:r>
      <w:proofErr w:type="spellEnd"/>
      <w:r w:rsidRPr="00BC59A9">
        <w:t xml:space="preserve"> made from bamboo, which will be undressed at the end of the funeral, leaving only the bamboo on the ritual field. There are regional variations in the types of tau </w:t>
      </w:r>
      <w:proofErr w:type="spellStart"/>
      <w:r w:rsidRPr="00BC59A9">
        <w:t>tau</w:t>
      </w:r>
      <w:proofErr w:type="spellEnd"/>
      <w:r w:rsidRPr="00BC59A9">
        <w:t xml:space="preserve"> used, also.</w:t>
      </w:r>
    </w:p>
    <w:p w:rsidR="00377940" w:rsidRDefault="00BC59A9" w:rsidP="00147512">
      <w:pPr>
        <w:spacing w:after="0"/>
      </w:pPr>
      <w:r w:rsidRPr="00BC59A9">
        <w:rPr>
          <w:b/>
          <w:bCs/>
        </w:rPr>
        <w:t>LC Classification:</w:t>
      </w:r>
      <w:r>
        <w:rPr>
          <w:b/>
          <w:bCs/>
        </w:rPr>
        <w:t xml:space="preserve"> </w:t>
      </w:r>
      <w:r>
        <w:t>DS632.T7</w:t>
      </w:r>
    </w:p>
    <w:p w:rsidR="00377940" w:rsidRDefault="00BC59A9" w:rsidP="00147512">
      <w:pPr>
        <w:spacing w:after="0"/>
      </w:pPr>
      <w:r>
        <w:rPr>
          <w:rStyle w:val="Strong"/>
        </w:rPr>
        <w:t>Date or Time Horizon:</w:t>
      </w:r>
      <w:r>
        <w:t xml:space="preserve"> early 20</w:t>
      </w:r>
      <w:r w:rsidRPr="00BC59A9">
        <w:rPr>
          <w:vertAlign w:val="superscript"/>
        </w:rPr>
        <w:t>th</w:t>
      </w:r>
      <w:r>
        <w:t xml:space="preserve"> century</w:t>
      </w:r>
    </w:p>
    <w:p w:rsidR="00D154BE" w:rsidRDefault="00BC59A9" w:rsidP="00147512">
      <w:pPr>
        <w:spacing w:after="0"/>
        <w:rPr>
          <w:b/>
        </w:rPr>
      </w:pPr>
      <w:r w:rsidRPr="00BC59A9">
        <w:rPr>
          <w:b/>
        </w:rPr>
        <w:t xml:space="preserve">Map: </w:t>
      </w:r>
    </w:p>
    <w:p w:rsidR="00D154BE" w:rsidRDefault="00D154BE" w:rsidP="00147512">
      <w:pPr>
        <w:autoSpaceDE w:val="0"/>
        <w:autoSpaceDN w:val="0"/>
        <w:adjustRightInd w:val="0"/>
        <w:spacing w:after="0" w:line="240" w:lineRule="auto"/>
        <w:jc w:val="center"/>
        <w:rPr>
          <w:rFonts w:eastAsia="Code2000"/>
        </w:rPr>
      </w:pPr>
      <w:r w:rsidRPr="004E6508">
        <w:rPr>
          <w:noProof/>
        </w:rPr>
        <w:lastRenderedPageBreak/>
        <w:drawing>
          <wp:inline distT="0" distB="0" distL="0" distR="0" wp14:anchorId="3A38D92D" wp14:editId="31F0634C">
            <wp:extent cx="1257300" cy="1226796"/>
            <wp:effectExtent l="0" t="0" r="0" b="0"/>
            <wp:docPr id="5" name="Picture 5" descr="https://upload.wikimedia.org/wikipedia/commons/6/65/Sulawesi_Top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6/65/Sulawesi_Topography.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3341" t="66566" r="5503" b="11107"/>
                    <a:stretch/>
                  </pic:blipFill>
                  <pic:spPr bwMode="auto">
                    <a:xfrm>
                      <a:off x="0" y="0"/>
                      <a:ext cx="1257439" cy="1226932"/>
                    </a:xfrm>
                    <a:prstGeom prst="rect">
                      <a:avLst/>
                    </a:prstGeom>
                    <a:noFill/>
                    <a:ln>
                      <a:noFill/>
                    </a:ln>
                    <a:extLst>
                      <a:ext uri="{53640926-AAD7-44D8-BBD7-CCE9431645EC}">
                        <a14:shadowObscured xmlns:a14="http://schemas.microsoft.com/office/drawing/2010/main"/>
                      </a:ext>
                    </a:extLst>
                  </pic:spPr>
                </pic:pic>
              </a:graphicData>
            </a:graphic>
          </wp:inline>
        </w:drawing>
      </w:r>
      <w:r w:rsidRPr="004E6508">
        <w:rPr>
          <w:noProof/>
        </w:rPr>
        <w:drawing>
          <wp:inline distT="0" distB="0" distL="0" distR="0" wp14:anchorId="6E1E2D2E" wp14:editId="16B81DFF">
            <wp:extent cx="3850557" cy="4251099"/>
            <wp:effectExtent l="0" t="0" r="0" b="0"/>
            <wp:docPr id="7" name="Picture 7" descr="https://upload.wikimedia.org/wikipedia/commons/1/16/Sulawesi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6/Sulawesi_map.P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72000"/>
                              </a14:imgEffect>
                              <a14:imgEffect>
                                <a14:brightnessContrast bright="-14000" contrast="38000"/>
                              </a14:imgEffect>
                            </a14:imgLayer>
                          </a14:imgProps>
                        </a:ext>
                        <a:ext uri="{28A0092B-C50C-407E-A947-70E740481C1C}">
                          <a14:useLocalDpi xmlns:a14="http://schemas.microsoft.com/office/drawing/2010/main" val="0"/>
                        </a:ext>
                      </a:extLst>
                    </a:blip>
                    <a:srcRect/>
                    <a:stretch>
                      <a:fillRect/>
                    </a:stretch>
                  </pic:blipFill>
                  <pic:spPr bwMode="auto">
                    <a:xfrm>
                      <a:off x="0" y="0"/>
                      <a:ext cx="3865707" cy="4267825"/>
                    </a:xfrm>
                    <a:prstGeom prst="rect">
                      <a:avLst/>
                    </a:prstGeom>
                    <a:noFill/>
                    <a:ln>
                      <a:noFill/>
                    </a:ln>
                  </pic:spPr>
                </pic:pic>
              </a:graphicData>
            </a:graphic>
          </wp:inline>
        </w:drawing>
      </w:r>
    </w:p>
    <w:p w:rsidR="00D154BE" w:rsidRDefault="00D154BE" w:rsidP="00147512">
      <w:pPr>
        <w:autoSpaceDE w:val="0"/>
        <w:autoSpaceDN w:val="0"/>
        <w:adjustRightInd w:val="0"/>
        <w:spacing w:after="0" w:line="240" w:lineRule="auto"/>
        <w:jc w:val="center"/>
        <w:rPr>
          <w:rFonts w:eastAsia="Code2000"/>
        </w:rPr>
      </w:pPr>
      <w:r>
        <w:rPr>
          <w:rFonts w:eastAsia="Code2000"/>
        </w:rPr>
        <w:t>Map: Sulawesi</w:t>
      </w:r>
    </w:p>
    <w:p w:rsidR="00D154BE" w:rsidRPr="004E6508" w:rsidRDefault="00D154BE" w:rsidP="00147512">
      <w:pPr>
        <w:autoSpaceDE w:val="0"/>
        <w:autoSpaceDN w:val="0"/>
        <w:adjustRightInd w:val="0"/>
        <w:spacing w:after="0" w:line="240" w:lineRule="auto"/>
        <w:jc w:val="center"/>
        <w:rPr>
          <w:rFonts w:eastAsia="Code2000"/>
        </w:rPr>
      </w:pPr>
    </w:p>
    <w:p w:rsidR="00377940" w:rsidRDefault="00BC59A9" w:rsidP="00147512">
      <w:pPr>
        <w:spacing w:after="0"/>
        <w:rPr>
          <w:b/>
        </w:rPr>
      </w:pPr>
      <w:r>
        <w:rPr>
          <w:noProof/>
        </w:rPr>
        <w:lastRenderedPageBreak/>
        <w:drawing>
          <wp:inline distT="0" distB="0" distL="0" distR="0" wp14:anchorId="3F6E3F13" wp14:editId="63C637AA">
            <wp:extent cx="5943600" cy="387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3500"/>
                    </a:xfrm>
                    <a:prstGeom prst="rect">
                      <a:avLst/>
                    </a:prstGeom>
                  </pic:spPr>
                </pic:pic>
              </a:graphicData>
            </a:graphic>
          </wp:inline>
        </w:drawing>
      </w:r>
      <w:r w:rsidRPr="00BC59A9">
        <w:rPr>
          <w:b/>
        </w:rPr>
        <w:t>GPS coordinates:</w:t>
      </w:r>
      <w:r w:rsidR="007709BF">
        <w:rPr>
          <w:b/>
        </w:rPr>
        <w:t xml:space="preserve"> </w:t>
      </w:r>
      <w:r w:rsidR="007709BF" w:rsidRPr="007709BF">
        <w:rPr>
          <w:b/>
        </w:rPr>
        <w:t>-3°22'54.00" S 120°01'43.00" E</w:t>
      </w:r>
    </w:p>
    <w:p w:rsidR="00BC59A9" w:rsidRPr="00377940" w:rsidRDefault="00BC59A9" w:rsidP="00147512">
      <w:pPr>
        <w:spacing w:after="0"/>
      </w:pPr>
      <w:r>
        <w:rPr>
          <w:rStyle w:val="Strong"/>
        </w:rPr>
        <w:t>Cultural Affiliation:</w:t>
      </w:r>
      <w:r>
        <w:t xml:space="preserve"> </w:t>
      </w:r>
      <w:proofErr w:type="spellStart"/>
      <w:r w:rsidR="007709BF" w:rsidRPr="007709BF">
        <w:rPr>
          <w:rFonts w:eastAsia="Times New Roman"/>
          <w:lang w:val="en"/>
        </w:rPr>
        <w:t>Toraja</w:t>
      </w:r>
      <w:proofErr w:type="spellEnd"/>
      <w:r w:rsidR="007709BF" w:rsidRPr="007709BF">
        <w:rPr>
          <w:rFonts w:eastAsia="Times New Roman"/>
          <w:lang w:val="en"/>
        </w:rPr>
        <w:t>, Sulawesi, Indonesia</w:t>
      </w:r>
    </w:p>
    <w:p w:rsidR="00377940" w:rsidRDefault="00BC59A9" w:rsidP="00147512">
      <w:pPr>
        <w:spacing w:after="0"/>
        <w:rPr>
          <w:rFonts w:eastAsia="Times New Roman"/>
          <w:lang w:val="en"/>
        </w:rPr>
      </w:pPr>
      <w:r>
        <w:rPr>
          <w:rStyle w:val="Strong"/>
        </w:rPr>
        <w:t>Medi</w:t>
      </w:r>
      <w:r w:rsidR="007709BF">
        <w:rPr>
          <w:rStyle w:val="Strong"/>
        </w:rPr>
        <w:t>um</w:t>
      </w:r>
      <w:r>
        <w:rPr>
          <w:rStyle w:val="Strong"/>
        </w:rPr>
        <w:t>:</w:t>
      </w:r>
      <w:r>
        <w:t xml:space="preserve"> </w:t>
      </w:r>
      <w:r w:rsidR="007709BF">
        <w:t xml:space="preserve">wood, </w:t>
      </w:r>
      <w:r w:rsidR="007709BF" w:rsidRPr="005458AB">
        <w:rPr>
          <w:rFonts w:eastAsia="Times New Roman"/>
          <w:lang w:val="en"/>
        </w:rPr>
        <w:t>patina of the figure is brownish-gray</w:t>
      </w:r>
    </w:p>
    <w:p w:rsidR="00377940" w:rsidRDefault="00BC59A9" w:rsidP="00147512">
      <w:pPr>
        <w:spacing w:after="0"/>
        <w:rPr>
          <w:rFonts w:eastAsia="Times New Roman"/>
          <w:lang w:val="en"/>
        </w:rPr>
      </w:pPr>
      <w:r>
        <w:rPr>
          <w:rStyle w:val="Strong"/>
        </w:rPr>
        <w:t>Dimensions:</w:t>
      </w:r>
      <w:r>
        <w:t xml:space="preserve"> </w:t>
      </w:r>
      <w:r w:rsidR="007709BF">
        <w:t xml:space="preserve">H </w:t>
      </w:r>
      <w:r w:rsidR="007709BF" w:rsidRPr="005458AB">
        <w:rPr>
          <w:rFonts w:eastAsia="Times New Roman"/>
          <w:lang w:val="en"/>
        </w:rPr>
        <w:t>30 in / 72 cm</w:t>
      </w:r>
    </w:p>
    <w:p w:rsidR="00377940" w:rsidRDefault="00BC59A9" w:rsidP="00147512">
      <w:pPr>
        <w:spacing w:after="0"/>
        <w:rPr>
          <w:rStyle w:val="Strong"/>
        </w:rPr>
      </w:pPr>
      <w:r>
        <w:rPr>
          <w:rStyle w:val="Strong"/>
        </w:rPr>
        <w:t xml:space="preserve">Weight:  </w:t>
      </w:r>
    </w:p>
    <w:p w:rsidR="00377940" w:rsidRDefault="00BC59A9" w:rsidP="00147512">
      <w:pPr>
        <w:spacing w:after="0"/>
        <w:rPr>
          <w:rStyle w:val="Strong"/>
          <w:b w:val="0"/>
        </w:rPr>
      </w:pPr>
      <w:r>
        <w:rPr>
          <w:rStyle w:val="Strong"/>
        </w:rPr>
        <w:t xml:space="preserve">Condition: </w:t>
      </w:r>
      <w:r w:rsidRPr="007709BF">
        <w:rPr>
          <w:rStyle w:val="Strong"/>
          <w:b w:val="0"/>
        </w:rPr>
        <w:t>original</w:t>
      </w:r>
    </w:p>
    <w:p w:rsidR="00377940" w:rsidRDefault="00BC59A9" w:rsidP="00147512">
      <w:pPr>
        <w:spacing w:after="0"/>
        <w:rPr>
          <w:rFonts w:eastAsia="Times New Roman"/>
          <w:lang w:val="en"/>
        </w:rPr>
      </w:pPr>
      <w:r>
        <w:rPr>
          <w:rStyle w:val="Strong"/>
        </w:rPr>
        <w:t>Provenance</w:t>
      </w:r>
      <w:r>
        <w:t xml:space="preserve">: </w:t>
      </w:r>
      <w:r w:rsidRPr="005458AB">
        <w:rPr>
          <w:rFonts w:eastAsia="Times New Roman"/>
          <w:lang w:val="en"/>
        </w:rPr>
        <w:t xml:space="preserve">grave figure of </w:t>
      </w:r>
      <w:proofErr w:type="spellStart"/>
      <w:r w:rsidRPr="005458AB">
        <w:rPr>
          <w:rFonts w:eastAsia="Times New Roman"/>
          <w:lang w:val="en"/>
        </w:rPr>
        <w:t>Toraja</w:t>
      </w:r>
      <w:proofErr w:type="spellEnd"/>
      <w:r w:rsidRPr="005458AB">
        <w:rPr>
          <w:rFonts w:eastAsia="Times New Roman"/>
          <w:lang w:val="en"/>
        </w:rPr>
        <w:t>, Sulawesi, Indonesia</w:t>
      </w:r>
      <w:r>
        <w:rPr>
          <w:rFonts w:eastAsia="Times New Roman"/>
          <w:lang w:val="en"/>
        </w:rPr>
        <w:t xml:space="preserve"> </w:t>
      </w:r>
    </w:p>
    <w:p w:rsidR="00BC59A9" w:rsidRPr="00377940" w:rsidRDefault="00BC59A9" w:rsidP="00147512">
      <w:pPr>
        <w:spacing w:after="0"/>
      </w:pPr>
      <w:r w:rsidRPr="00BC59A9">
        <w:rPr>
          <w:b/>
          <w:bCs/>
        </w:rPr>
        <w:t>Discussion:</w:t>
      </w:r>
    </w:p>
    <w:p w:rsidR="00BC59A9" w:rsidRPr="00BC59A9" w:rsidRDefault="00BC59A9" w:rsidP="00147512">
      <w:pPr>
        <w:pStyle w:val="ListParagraph"/>
        <w:numPr>
          <w:ilvl w:val="0"/>
          <w:numId w:val="3"/>
        </w:numPr>
        <w:spacing w:after="0"/>
      </w:pPr>
      <w:r w:rsidRPr="00BC59A9">
        <w:t xml:space="preserve">In the early 1900s, with the arrival of the Dutch Christian missionaries in </w:t>
      </w:r>
      <w:proofErr w:type="spellStart"/>
      <w:r w:rsidRPr="00BC59A9">
        <w:t>Toraja</w:t>
      </w:r>
      <w:proofErr w:type="spellEnd"/>
      <w:r w:rsidRPr="00BC59A9">
        <w:t xml:space="preserve">, the production of tau </w:t>
      </w:r>
      <w:proofErr w:type="spellStart"/>
      <w:r w:rsidRPr="00BC59A9">
        <w:t>tau</w:t>
      </w:r>
      <w:proofErr w:type="spellEnd"/>
      <w:r w:rsidRPr="00BC59A9">
        <w:t xml:space="preserve"> was somewhat dampened. At the 1985 synod of </w:t>
      </w:r>
      <w:proofErr w:type="spellStart"/>
      <w:r w:rsidRPr="00BC59A9">
        <w:t>Toraja</w:t>
      </w:r>
      <w:proofErr w:type="spellEnd"/>
      <w:r w:rsidRPr="00BC59A9">
        <w:t xml:space="preserve"> Church in </w:t>
      </w:r>
      <w:proofErr w:type="spellStart"/>
      <w:r w:rsidRPr="00BC59A9">
        <w:t>Palopo</w:t>
      </w:r>
      <w:proofErr w:type="spellEnd"/>
      <w:r w:rsidRPr="00BC59A9">
        <w:t xml:space="preserve"> people debated if Protestant </w:t>
      </w:r>
      <w:proofErr w:type="spellStart"/>
      <w:r w:rsidRPr="00BC59A9">
        <w:t>Toraja</w:t>
      </w:r>
      <w:proofErr w:type="spellEnd"/>
      <w:r w:rsidRPr="00BC59A9">
        <w:t xml:space="preserve"> could have tau </w:t>
      </w:r>
      <w:proofErr w:type="spellStart"/>
      <w:r w:rsidRPr="00BC59A9">
        <w:t>tau</w:t>
      </w:r>
      <w:proofErr w:type="spellEnd"/>
      <w:r w:rsidRPr="00BC59A9">
        <w:t xml:space="preserve"> at their funerals.</w:t>
      </w:r>
      <w:hyperlink r:id="rId17" w:anchor="cite_note-.5B.5BKathleen_M._Adams.5D.5D-3" w:history="1">
        <w:r w:rsidRPr="00BC59A9">
          <w:rPr>
            <w:rStyle w:val="Hyperlink"/>
          </w:rPr>
          <w:t>[3]</w:t>
        </w:r>
      </w:hyperlink>
    </w:p>
    <w:p w:rsidR="00BC59A9" w:rsidRPr="00BC59A9" w:rsidRDefault="00BC59A9" w:rsidP="00147512">
      <w:pPr>
        <w:pStyle w:val="ListParagraph"/>
        <w:numPr>
          <w:ilvl w:val="0"/>
          <w:numId w:val="3"/>
        </w:numPr>
        <w:spacing w:after="0"/>
      </w:pPr>
      <w:proofErr w:type="spellStart"/>
      <w:r w:rsidRPr="00BC59A9">
        <w:t>Torajans</w:t>
      </w:r>
      <w:proofErr w:type="spellEnd"/>
      <w:r w:rsidRPr="00BC59A9">
        <w:t xml:space="preserve"> believe that the dead can take their possessions with them to the </w:t>
      </w:r>
      <w:proofErr w:type="spellStart"/>
      <w:r w:rsidRPr="00BC59A9">
        <w:t>after life</w:t>
      </w:r>
      <w:proofErr w:type="spellEnd"/>
      <w:r w:rsidRPr="00BC59A9">
        <w:t xml:space="preserve">, the effigies are usually equipped with small possessions. In 1980s, the wooden effigies became a target for grave robbers looted and possessions kept with them and sold the figures to museums. Tau </w:t>
      </w:r>
      <w:proofErr w:type="spellStart"/>
      <w:r w:rsidRPr="00BC59A9">
        <w:t>tau</w:t>
      </w:r>
      <w:proofErr w:type="spellEnd"/>
      <w:r w:rsidRPr="00BC59A9">
        <w:t xml:space="preserve"> can now be found in Jakarta, Europe and America, and were once even on display at the </w:t>
      </w:r>
      <w:r w:rsidRPr="007709BF">
        <w:t>Smithsonian Institution</w:t>
      </w:r>
      <w:r w:rsidRPr="00BC59A9">
        <w:t> in 1991</w:t>
      </w:r>
      <w:r w:rsidR="007709BF">
        <w:t xml:space="preserve"> (</w:t>
      </w:r>
      <w:proofErr w:type="spellStart"/>
      <w:r w:rsidR="007709BF">
        <w:t>Volkman</w:t>
      </w:r>
      <w:proofErr w:type="spellEnd"/>
      <w:r w:rsidR="007709BF">
        <w:t xml:space="preserve"> 1990).</w:t>
      </w:r>
      <w:r w:rsidRPr="00BC59A9">
        <w:t xml:space="preserve"> In response to this plunder of the ancestors, the </w:t>
      </w:r>
      <w:proofErr w:type="spellStart"/>
      <w:r w:rsidRPr="00BC59A9">
        <w:t>Torajans</w:t>
      </w:r>
      <w:proofErr w:type="spellEnd"/>
      <w:r w:rsidRPr="00BC59A9">
        <w:t xml:space="preserve"> hid their tau </w:t>
      </w:r>
      <w:proofErr w:type="spellStart"/>
      <w:r w:rsidRPr="00BC59A9">
        <w:t>tau</w:t>
      </w:r>
      <w:proofErr w:type="spellEnd"/>
      <w:r w:rsidRPr="00BC59A9">
        <w:t xml:space="preserve"> in various undisclosed locations. They also installed metal fences surrounding their cave graves to protect the tau </w:t>
      </w:r>
      <w:proofErr w:type="spellStart"/>
      <w:r w:rsidRPr="00BC59A9">
        <w:t>tau</w:t>
      </w:r>
      <w:proofErr w:type="spellEnd"/>
      <w:r w:rsidRPr="00BC59A9">
        <w:t xml:space="preserve">. It is somewhat ironic that the tau </w:t>
      </w:r>
      <w:proofErr w:type="spellStart"/>
      <w:r w:rsidRPr="00BC59A9">
        <w:t>tau</w:t>
      </w:r>
      <w:proofErr w:type="spellEnd"/>
      <w:r w:rsidRPr="00BC59A9">
        <w:t xml:space="preserve"> is meant to represent the deceased protecting the living, but they now have to be protected against the living</w:t>
      </w:r>
      <w:r w:rsidR="007709BF">
        <w:t xml:space="preserve"> (Adams 1993).</w:t>
      </w:r>
    </w:p>
    <w:p w:rsidR="00147512" w:rsidRPr="00147512" w:rsidRDefault="00147512" w:rsidP="00147512">
      <w:pPr>
        <w:pStyle w:val="ListParagraph"/>
        <w:numPr>
          <w:ilvl w:val="0"/>
          <w:numId w:val="3"/>
        </w:numPr>
        <w:spacing w:after="0"/>
        <w:ind w:left="360"/>
        <w:rPr>
          <w:b/>
        </w:rPr>
      </w:pPr>
      <w:r w:rsidRPr="00147512">
        <w:rPr>
          <w:b/>
        </w:rPr>
        <w:t>References</w:t>
      </w:r>
    </w:p>
    <w:p w:rsidR="00147512" w:rsidRDefault="00147512" w:rsidP="00147512">
      <w:pPr>
        <w:pStyle w:val="ListParagraph"/>
        <w:numPr>
          <w:ilvl w:val="0"/>
          <w:numId w:val="3"/>
        </w:numPr>
        <w:spacing w:after="0"/>
        <w:ind w:left="360"/>
      </w:pPr>
      <w:r w:rsidRPr="00BC59A9">
        <w:t>Adams, Kathleen M. 2006 </w:t>
      </w:r>
      <w:r w:rsidRPr="00147512">
        <w:rPr>
          <w:i/>
        </w:rPr>
        <w:t xml:space="preserve">Art as Politics: Re-crafting Identities, Tourism and Power in Tana </w:t>
      </w:r>
      <w:proofErr w:type="spellStart"/>
      <w:r w:rsidRPr="00147512">
        <w:rPr>
          <w:i/>
        </w:rPr>
        <w:t>Toraja</w:t>
      </w:r>
      <w:proofErr w:type="spellEnd"/>
      <w:r w:rsidRPr="00147512">
        <w:rPr>
          <w:i/>
        </w:rPr>
        <w:t>, Indonesia</w:t>
      </w:r>
      <w:r w:rsidRPr="00BC59A9">
        <w:t>. Honolulu: University of Hawaii Press</w:t>
      </w:r>
      <w:r>
        <w:t>.</w:t>
      </w:r>
    </w:p>
    <w:p w:rsidR="00147512" w:rsidRDefault="00147512" w:rsidP="00147512">
      <w:pPr>
        <w:pStyle w:val="ListParagraph"/>
        <w:numPr>
          <w:ilvl w:val="0"/>
          <w:numId w:val="3"/>
        </w:numPr>
        <w:spacing w:after="0"/>
        <w:ind w:left="360"/>
      </w:pPr>
      <w:r>
        <w:lastRenderedPageBreak/>
        <w:t>Adams, Kathleen M. 1993.</w:t>
      </w:r>
      <w:r w:rsidRPr="007709BF">
        <w:t xml:space="preserve"> "Theologians. Tourists. </w:t>
      </w:r>
      <w:proofErr w:type="gramStart"/>
      <w:r w:rsidRPr="007709BF">
        <w:t>and</w:t>
      </w:r>
      <w:proofErr w:type="gramEnd"/>
      <w:r w:rsidRPr="007709BF">
        <w:t xml:space="preserve"> Thieves: The </w:t>
      </w:r>
      <w:proofErr w:type="spellStart"/>
      <w:r w:rsidRPr="007709BF">
        <w:t>Torajan</w:t>
      </w:r>
      <w:proofErr w:type="spellEnd"/>
      <w:r w:rsidRPr="007709BF">
        <w:t xml:space="preserve"> Effigy of the Dead in Modernizing Indonesia</w:t>
      </w:r>
      <w:r>
        <w:t>,"</w:t>
      </w:r>
      <w:r w:rsidRPr="007709BF">
        <w:t> </w:t>
      </w:r>
      <w:r w:rsidRPr="00147512">
        <w:rPr>
          <w:i/>
        </w:rPr>
        <w:t>Kyoto Journal</w:t>
      </w:r>
      <w:r>
        <w:t>,</w:t>
      </w:r>
      <w:r w:rsidRPr="007709BF">
        <w:t> 22: 38–46.</w:t>
      </w:r>
    </w:p>
    <w:p w:rsidR="00147512" w:rsidRDefault="00147512" w:rsidP="00147512">
      <w:pPr>
        <w:pStyle w:val="ListParagraph"/>
        <w:numPr>
          <w:ilvl w:val="0"/>
          <w:numId w:val="3"/>
        </w:numPr>
        <w:spacing w:after="0"/>
        <w:ind w:left="360"/>
      </w:pPr>
      <w:r w:rsidRPr="00BC59A9">
        <w:t>Blanche, Patrick.</w:t>
      </w:r>
      <w:r>
        <w:t xml:space="preserve"> 2011.</w:t>
      </w:r>
      <w:r w:rsidRPr="00BC59A9">
        <w:t> </w:t>
      </w:r>
      <w:hyperlink r:id="rId18" w:history="1">
        <w:r w:rsidRPr="00BC59A9">
          <w:rPr>
            <w:rStyle w:val="Hyperlink"/>
          </w:rPr>
          <w:t>"The tau tau of the Toraja"</w:t>
        </w:r>
      </w:hyperlink>
      <w:r w:rsidRPr="00BC59A9">
        <w:t xml:space="preserve">. Raw Vision. Watford, Hertfordshire. </w:t>
      </w:r>
      <w:r w:rsidRPr="00E80F02">
        <w:t>https://rawvision.com/articles/tau-tau-toraja</w:t>
      </w:r>
    </w:p>
    <w:p w:rsidR="00147512" w:rsidRPr="00147512" w:rsidRDefault="00147512" w:rsidP="00147512">
      <w:pPr>
        <w:pStyle w:val="ListParagraph"/>
        <w:numPr>
          <w:ilvl w:val="0"/>
          <w:numId w:val="3"/>
        </w:numPr>
        <w:autoSpaceDE w:val="0"/>
        <w:autoSpaceDN w:val="0"/>
        <w:adjustRightInd w:val="0"/>
        <w:spacing w:after="0" w:line="240" w:lineRule="auto"/>
        <w:ind w:left="360"/>
        <w:rPr>
          <w:rFonts w:eastAsia="Code2000"/>
        </w:rPr>
      </w:pPr>
      <w:r w:rsidRPr="00147512">
        <w:rPr>
          <w:rFonts w:eastAsia="Code2000"/>
        </w:rPr>
        <w:t xml:space="preserve">Gordon, Raymond G., Jr, ed. 2005. </w:t>
      </w:r>
      <w:proofErr w:type="spellStart"/>
      <w:r w:rsidRPr="00147512">
        <w:rPr>
          <w:rFonts w:eastAsia="Code2000"/>
          <w:i/>
        </w:rPr>
        <w:t>Ethnologue</w:t>
      </w:r>
      <w:proofErr w:type="spellEnd"/>
      <w:r w:rsidRPr="00147512">
        <w:rPr>
          <w:rFonts w:eastAsia="Code2000"/>
          <w:i/>
        </w:rPr>
        <w:t>: Languages of the World</w:t>
      </w:r>
      <w:r w:rsidRPr="00147512">
        <w:rPr>
          <w:rFonts w:eastAsia="Code2000"/>
        </w:rPr>
        <w:t>. 15</w:t>
      </w:r>
      <w:r w:rsidRPr="00147512">
        <w:rPr>
          <w:rFonts w:eastAsia="Code2000"/>
          <w:vertAlign w:val="superscript"/>
        </w:rPr>
        <w:t>th</w:t>
      </w:r>
      <w:r w:rsidRPr="00147512">
        <w:rPr>
          <w:rFonts w:eastAsia="Code2000"/>
        </w:rPr>
        <w:t xml:space="preserve"> ed. Dallas: SIL International.</w:t>
      </w:r>
    </w:p>
    <w:p w:rsidR="00147512" w:rsidRPr="00147512" w:rsidRDefault="00147512" w:rsidP="00147512">
      <w:pPr>
        <w:pStyle w:val="ListParagraph"/>
        <w:numPr>
          <w:ilvl w:val="0"/>
          <w:numId w:val="3"/>
        </w:numPr>
        <w:autoSpaceDE w:val="0"/>
        <w:autoSpaceDN w:val="0"/>
        <w:adjustRightInd w:val="0"/>
        <w:spacing w:after="0" w:line="240" w:lineRule="auto"/>
        <w:ind w:left="360"/>
        <w:rPr>
          <w:rStyle w:val="HTMLCite"/>
          <w:i w:val="0"/>
        </w:rPr>
      </w:pPr>
    </w:p>
    <w:p w:rsidR="00147512" w:rsidRPr="00147512" w:rsidRDefault="00147512" w:rsidP="00147512">
      <w:pPr>
        <w:pStyle w:val="ListParagraph"/>
        <w:numPr>
          <w:ilvl w:val="0"/>
          <w:numId w:val="3"/>
        </w:numPr>
        <w:autoSpaceDE w:val="0"/>
        <w:autoSpaceDN w:val="0"/>
        <w:adjustRightInd w:val="0"/>
        <w:spacing w:after="0" w:line="240" w:lineRule="auto"/>
        <w:ind w:left="360"/>
        <w:rPr>
          <w:rFonts w:eastAsia="Code2000"/>
        </w:rPr>
      </w:pPr>
      <w:r w:rsidRPr="00E80F02">
        <w:rPr>
          <w:rStyle w:val="HTMLCite"/>
        </w:rPr>
        <w:t>L</w:t>
      </w:r>
      <w:r>
        <w:rPr>
          <w:rStyle w:val="HTMLCite"/>
        </w:rPr>
        <w:t>i, H; Wen, B; Chen, SJ; et al. 2008</w:t>
      </w:r>
      <w:r w:rsidRPr="00E80F02">
        <w:rPr>
          <w:rStyle w:val="HTMLCite"/>
        </w:rPr>
        <w:t xml:space="preserve">. </w:t>
      </w:r>
      <w:hyperlink r:id="rId19" w:history="1">
        <w:r w:rsidRPr="00E80F02">
          <w:rPr>
            <w:rStyle w:val="Hyperlink"/>
          </w:rPr>
          <w:t xml:space="preserve">"Paternal genetic affinity between Western Austronesians and </w:t>
        </w:r>
        <w:proofErr w:type="spellStart"/>
        <w:r w:rsidRPr="00E80F02">
          <w:rPr>
            <w:rStyle w:val="Hyperlink"/>
          </w:rPr>
          <w:t>Daic</w:t>
        </w:r>
        <w:proofErr w:type="spellEnd"/>
        <w:r w:rsidRPr="00E80F02">
          <w:rPr>
            <w:rStyle w:val="Hyperlink"/>
          </w:rPr>
          <w:t xml:space="preserve"> populations</w:t>
        </w:r>
        <w:r>
          <w:rPr>
            <w:rStyle w:val="Hyperlink"/>
          </w:rPr>
          <w:t>,</w:t>
        </w:r>
        <w:r w:rsidRPr="00E80F02">
          <w:rPr>
            <w:rStyle w:val="Hyperlink"/>
          </w:rPr>
          <w:t>"</w:t>
        </w:r>
      </w:hyperlink>
      <w:r w:rsidRPr="004E6508">
        <w:rPr>
          <w:rStyle w:val="HTMLCite"/>
        </w:rPr>
        <w:t xml:space="preserve"> Evol</w:t>
      </w:r>
      <w:r>
        <w:rPr>
          <w:rStyle w:val="HTMLCite"/>
        </w:rPr>
        <w:t>utionary Biology</w:t>
      </w:r>
      <w:r w:rsidRPr="004E6508">
        <w:rPr>
          <w:rStyle w:val="HTMLCite"/>
        </w:rPr>
        <w:t xml:space="preserve"> </w:t>
      </w:r>
      <w:r w:rsidRPr="00E80F02">
        <w:rPr>
          <w:rStyle w:val="HTMLCite"/>
        </w:rPr>
        <w:t>8: 146.</w:t>
      </w:r>
    </w:p>
    <w:p w:rsidR="00147512" w:rsidRPr="00147512" w:rsidRDefault="00147512" w:rsidP="00147512">
      <w:pPr>
        <w:pStyle w:val="ListParagraph"/>
        <w:numPr>
          <w:ilvl w:val="0"/>
          <w:numId w:val="3"/>
        </w:numPr>
        <w:autoSpaceDE w:val="0"/>
        <w:autoSpaceDN w:val="0"/>
        <w:adjustRightInd w:val="0"/>
        <w:spacing w:after="0" w:line="240" w:lineRule="auto"/>
        <w:ind w:left="360"/>
        <w:rPr>
          <w:rFonts w:eastAsia="Code2000"/>
        </w:rPr>
      </w:pPr>
    </w:p>
    <w:p w:rsidR="00147512" w:rsidRPr="00147512" w:rsidRDefault="00147512" w:rsidP="00147512">
      <w:pPr>
        <w:pStyle w:val="ListParagraph"/>
        <w:numPr>
          <w:ilvl w:val="0"/>
          <w:numId w:val="3"/>
        </w:numPr>
        <w:autoSpaceDE w:val="0"/>
        <w:autoSpaceDN w:val="0"/>
        <w:adjustRightInd w:val="0"/>
        <w:spacing w:after="0" w:line="240" w:lineRule="auto"/>
        <w:ind w:left="360"/>
        <w:rPr>
          <w:rFonts w:eastAsia="Code2000"/>
        </w:rPr>
      </w:pPr>
      <w:proofErr w:type="spellStart"/>
      <w:r>
        <w:t>Sammut</w:t>
      </w:r>
      <w:proofErr w:type="spellEnd"/>
      <w:r>
        <w:t xml:space="preserve">, </w:t>
      </w:r>
      <w:proofErr w:type="spellStart"/>
      <w:r>
        <w:t>Jesmond</w:t>
      </w:r>
      <w:proofErr w:type="spellEnd"/>
      <w:r>
        <w:t>. 2009</w:t>
      </w:r>
      <w:r w:rsidRPr="00BC59A9">
        <w:t>. </w:t>
      </w:r>
      <w:hyperlink r:id="rId20" w:history="1">
        <w:r w:rsidRPr="00BC59A9">
          <w:rPr>
            <w:rStyle w:val="Hyperlink"/>
          </w:rPr>
          <w:t>"Tau tau gallery at Toraja burial site"</w:t>
        </w:r>
      </w:hyperlink>
      <w:r w:rsidRPr="00BC59A9">
        <w:t>. The Australian Museum.</w:t>
      </w:r>
      <w:r>
        <w:t xml:space="preserve"> </w:t>
      </w:r>
      <w:hyperlink r:id="rId21" w:history="1">
        <w:r w:rsidRPr="003476D9">
          <w:rPr>
            <w:rStyle w:val="Hyperlink"/>
          </w:rPr>
          <w:t>https://australianmuseum.net.au/image/tau-tau-gallery-at-toraja-burial-site</w:t>
        </w:r>
      </w:hyperlink>
    </w:p>
    <w:p w:rsidR="00147512" w:rsidRPr="00147512" w:rsidRDefault="00147512" w:rsidP="00147512">
      <w:pPr>
        <w:pStyle w:val="ListParagraph"/>
        <w:numPr>
          <w:ilvl w:val="0"/>
          <w:numId w:val="3"/>
        </w:numPr>
        <w:autoSpaceDE w:val="0"/>
        <w:autoSpaceDN w:val="0"/>
        <w:adjustRightInd w:val="0"/>
        <w:spacing w:after="0" w:line="240" w:lineRule="auto"/>
        <w:ind w:left="360"/>
        <w:rPr>
          <w:rFonts w:eastAsia="Code2000"/>
        </w:rPr>
      </w:pPr>
    </w:p>
    <w:p w:rsidR="00147512" w:rsidRDefault="00147512" w:rsidP="00147512">
      <w:pPr>
        <w:pStyle w:val="ListParagraph"/>
        <w:numPr>
          <w:ilvl w:val="0"/>
          <w:numId w:val="3"/>
        </w:numPr>
        <w:spacing w:after="0"/>
        <w:ind w:left="360"/>
      </w:pPr>
      <w:proofErr w:type="spellStart"/>
      <w:r>
        <w:t>Volkman</w:t>
      </w:r>
      <w:proofErr w:type="spellEnd"/>
      <w:r>
        <w:t>, Toby Alice.1990</w:t>
      </w:r>
      <w:r w:rsidRPr="00BC59A9">
        <w:t xml:space="preserve">. "Visions and Revisions: </w:t>
      </w:r>
      <w:proofErr w:type="spellStart"/>
      <w:r w:rsidRPr="00BC59A9">
        <w:t>Toraja</w:t>
      </w:r>
      <w:proofErr w:type="spellEnd"/>
      <w:r w:rsidRPr="00BC59A9">
        <w:t xml:space="preserve"> Culture and the Tourist Gaze</w:t>
      </w:r>
      <w:r>
        <w:t xml:space="preserve">," </w:t>
      </w:r>
      <w:r w:rsidRPr="00147512">
        <w:rPr>
          <w:i/>
        </w:rPr>
        <w:t>American Ethnologist</w:t>
      </w:r>
      <w:r>
        <w:t>,</w:t>
      </w:r>
      <w:r w:rsidRPr="00BC59A9">
        <w:t> 17 (1): 91–110. </w:t>
      </w:r>
    </w:p>
    <w:p w:rsidR="007709BF" w:rsidRDefault="007709BF" w:rsidP="00147512">
      <w:pPr>
        <w:spacing w:after="0"/>
        <w:rPr>
          <w:rStyle w:val="Strong"/>
        </w:rPr>
      </w:pPr>
    </w:p>
    <w:p w:rsidR="005458AB" w:rsidRPr="005458AB" w:rsidRDefault="00147512" w:rsidP="00147512">
      <w:pPr>
        <w:tabs>
          <w:tab w:val="center" w:pos="4680"/>
        </w:tabs>
        <w:spacing w:after="0"/>
        <w:rPr>
          <w:rFonts w:eastAsia="Times New Roman"/>
        </w:rPr>
      </w:pPr>
      <w:r>
        <w:rPr>
          <w:rFonts w:eastAsia="Times New Roman"/>
          <w:lang w:val="en"/>
        </w:rPr>
        <w:tab/>
      </w:r>
      <w:bookmarkEnd w:id="0"/>
      <w:r w:rsidR="005458AB" w:rsidRPr="005458AB">
        <w:rPr>
          <w:rFonts w:eastAsia="Times New Roman"/>
          <w:lang w:val="en"/>
        </w:rPr>
        <w:br/>
      </w:r>
      <w:r w:rsidR="005458AB" w:rsidRPr="005458AB">
        <w:rPr>
          <w:rFonts w:eastAsia="Times New Roman"/>
          <w:lang w:val="en"/>
        </w:rPr>
        <w:br/>
      </w:r>
      <w:r w:rsidR="005458AB" w:rsidRPr="005458AB">
        <w:rPr>
          <w:rFonts w:eastAsia="Times New Roman"/>
          <w:lang w:val="en"/>
        </w:rPr>
        <w:br/>
      </w:r>
    </w:p>
    <w:p w:rsidR="005458AB" w:rsidRDefault="005458AB"/>
    <w:sectPr w:rsidR="00545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de2000">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07072A"/>
    <w:multiLevelType w:val="multilevel"/>
    <w:tmpl w:val="FA22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FC069A"/>
    <w:multiLevelType w:val="multilevel"/>
    <w:tmpl w:val="D70437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7479CE"/>
    <w:multiLevelType w:val="multilevel"/>
    <w:tmpl w:val="3D64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8AB"/>
    <w:rsid w:val="0000162B"/>
    <w:rsid w:val="00003BD7"/>
    <w:rsid w:val="0001706D"/>
    <w:rsid w:val="00027CE8"/>
    <w:rsid w:val="00041AA4"/>
    <w:rsid w:val="000505A1"/>
    <w:rsid w:val="00055A9C"/>
    <w:rsid w:val="00065636"/>
    <w:rsid w:val="00065DB6"/>
    <w:rsid w:val="00067A3C"/>
    <w:rsid w:val="00084668"/>
    <w:rsid w:val="000901AC"/>
    <w:rsid w:val="00091FDA"/>
    <w:rsid w:val="00094A49"/>
    <w:rsid w:val="000B18DC"/>
    <w:rsid w:val="000C43B8"/>
    <w:rsid w:val="000C566F"/>
    <w:rsid w:val="000F58F1"/>
    <w:rsid w:val="0011027E"/>
    <w:rsid w:val="0011700F"/>
    <w:rsid w:val="00130887"/>
    <w:rsid w:val="00135862"/>
    <w:rsid w:val="00147512"/>
    <w:rsid w:val="001477EE"/>
    <w:rsid w:val="00153479"/>
    <w:rsid w:val="00161F1B"/>
    <w:rsid w:val="00162278"/>
    <w:rsid w:val="00174ACB"/>
    <w:rsid w:val="00182334"/>
    <w:rsid w:val="001A5F6F"/>
    <w:rsid w:val="001D1968"/>
    <w:rsid w:val="001E0729"/>
    <w:rsid w:val="001E365E"/>
    <w:rsid w:val="001F347F"/>
    <w:rsid w:val="00217D1D"/>
    <w:rsid w:val="0024149A"/>
    <w:rsid w:val="00251D9A"/>
    <w:rsid w:val="00256ACB"/>
    <w:rsid w:val="002A0F6C"/>
    <w:rsid w:val="002A25A3"/>
    <w:rsid w:val="002E2F00"/>
    <w:rsid w:val="002F333C"/>
    <w:rsid w:val="002F6BFE"/>
    <w:rsid w:val="00304226"/>
    <w:rsid w:val="0031028B"/>
    <w:rsid w:val="00316204"/>
    <w:rsid w:val="00321B6F"/>
    <w:rsid w:val="003348D7"/>
    <w:rsid w:val="00360FBB"/>
    <w:rsid w:val="00365B9D"/>
    <w:rsid w:val="0037637F"/>
    <w:rsid w:val="00377940"/>
    <w:rsid w:val="00392FB8"/>
    <w:rsid w:val="003A1F5E"/>
    <w:rsid w:val="003B1BBA"/>
    <w:rsid w:val="003B2EA8"/>
    <w:rsid w:val="003C26AE"/>
    <w:rsid w:val="003E579F"/>
    <w:rsid w:val="003E6978"/>
    <w:rsid w:val="0040056B"/>
    <w:rsid w:val="004133B9"/>
    <w:rsid w:val="004152F1"/>
    <w:rsid w:val="00415551"/>
    <w:rsid w:val="00425F3E"/>
    <w:rsid w:val="0043232E"/>
    <w:rsid w:val="0044288D"/>
    <w:rsid w:val="00454BD4"/>
    <w:rsid w:val="00467E7C"/>
    <w:rsid w:val="00470496"/>
    <w:rsid w:val="004718DF"/>
    <w:rsid w:val="00483DDF"/>
    <w:rsid w:val="00491C3E"/>
    <w:rsid w:val="004A26C9"/>
    <w:rsid w:val="004B0915"/>
    <w:rsid w:val="004E4F31"/>
    <w:rsid w:val="00502CB4"/>
    <w:rsid w:val="00507034"/>
    <w:rsid w:val="00515E9D"/>
    <w:rsid w:val="00532A62"/>
    <w:rsid w:val="00534E07"/>
    <w:rsid w:val="00542F63"/>
    <w:rsid w:val="005458AB"/>
    <w:rsid w:val="005476E6"/>
    <w:rsid w:val="00567AC6"/>
    <w:rsid w:val="00577D40"/>
    <w:rsid w:val="005A387C"/>
    <w:rsid w:val="005C0557"/>
    <w:rsid w:val="005D1CC0"/>
    <w:rsid w:val="005F5F4F"/>
    <w:rsid w:val="00606514"/>
    <w:rsid w:val="006071F9"/>
    <w:rsid w:val="00617980"/>
    <w:rsid w:val="006463A4"/>
    <w:rsid w:val="0069225F"/>
    <w:rsid w:val="00695E64"/>
    <w:rsid w:val="006B5B06"/>
    <w:rsid w:val="006D4B9E"/>
    <w:rsid w:val="006E4FED"/>
    <w:rsid w:val="007028EF"/>
    <w:rsid w:val="007168A8"/>
    <w:rsid w:val="00717FF3"/>
    <w:rsid w:val="00740F00"/>
    <w:rsid w:val="0075260E"/>
    <w:rsid w:val="007671F8"/>
    <w:rsid w:val="007709BF"/>
    <w:rsid w:val="007809E9"/>
    <w:rsid w:val="00792D28"/>
    <w:rsid w:val="007A0F3C"/>
    <w:rsid w:val="007A23CE"/>
    <w:rsid w:val="007B410A"/>
    <w:rsid w:val="007B5668"/>
    <w:rsid w:val="007B7A50"/>
    <w:rsid w:val="007D5D22"/>
    <w:rsid w:val="007F2D0E"/>
    <w:rsid w:val="008008F0"/>
    <w:rsid w:val="00830214"/>
    <w:rsid w:val="0083480A"/>
    <w:rsid w:val="00847B3D"/>
    <w:rsid w:val="0085590C"/>
    <w:rsid w:val="008645D9"/>
    <w:rsid w:val="00870CB9"/>
    <w:rsid w:val="0087249F"/>
    <w:rsid w:val="008814FE"/>
    <w:rsid w:val="00895A36"/>
    <w:rsid w:val="008A7AF4"/>
    <w:rsid w:val="008C4D54"/>
    <w:rsid w:val="008D424C"/>
    <w:rsid w:val="008F5D0A"/>
    <w:rsid w:val="00903030"/>
    <w:rsid w:val="009060D0"/>
    <w:rsid w:val="00913604"/>
    <w:rsid w:val="00930C58"/>
    <w:rsid w:val="009331D5"/>
    <w:rsid w:val="00955C53"/>
    <w:rsid w:val="00955D64"/>
    <w:rsid w:val="0096275C"/>
    <w:rsid w:val="00976D01"/>
    <w:rsid w:val="009909DD"/>
    <w:rsid w:val="009B070F"/>
    <w:rsid w:val="009C2C0F"/>
    <w:rsid w:val="009E10B5"/>
    <w:rsid w:val="009F1E61"/>
    <w:rsid w:val="009F4E00"/>
    <w:rsid w:val="00A04001"/>
    <w:rsid w:val="00A15646"/>
    <w:rsid w:val="00A274BA"/>
    <w:rsid w:val="00A454E8"/>
    <w:rsid w:val="00A4746E"/>
    <w:rsid w:val="00A6107D"/>
    <w:rsid w:val="00A8168A"/>
    <w:rsid w:val="00AA413C"/>
    <w:rsid w:val="00AB06EA"/>
    <w:rsid w:val="00AB7332"/>
    <w:rsid w:val="00AC019E"/>
    <w:rsid w:val="00AD55D6"/>
    <w:rsid w:val="00AE5A7E"/>
    <w:rsid w:val="00AF7F52"/>
    <w:rsid w:val="00B048CC"/>
    <w:rsid w:val="00B07AE5"/>
    <w:rsid w:val="00B12B2C"/>
    <w:rsid w:val="00B20D7A"/>
    <w:rsid w:val="00B35139"/>
    <w:rsid w:val="00B42F4D"/>
    <w:rsid w:val="00B43FEB"/>
    <w:rsid w:val="00B44B1E"/>
    <w:rsid w:val="00B56131"/>
    <w:rsid w:val="00B565D3"/>
    <w:rsid w:val="00B75368"/>
    <w:rsid w:val="00B77621"/>
    <w:rsid w:val="00B92197"/>
    <w:rsid w:val="00BA3532"/>
    <w:rsid w:val="00BA75CB"/>
    <w:rsid w:val="00BB24A2"/>
    <w:rsid w:val="00BB5A60"/>
    <w:rsid w:val="00BC50A5"/>
    <w:rsid w:val="00BC59A9"/>
    <w:rsid w:val="00BC6C4E"/>
    <w:rsid w:val="00BF65DF"/>
    <w:rsid w:val="00C26AB0"/>
    <w:rsid w:val="00C4210B"/>
    <w:rsid w:val="00C535F8"/>
    <w:rsid w:val="00C538C9"/>
    <w:rsid w:val="00C56D16"/>
    <w:rsid w:val="00C769BB"/>
    <w:rsid w:val="00C80778"/>
    <w:rsid w:val="00C86B6F"/>
    <w:rsid w:val="00C971D9"/>
    <w:rsid w:val="00CA4578"/>
    <w:rsid w:val="00CA6A8E"/>
    <w:rsid w:val="00CE4E9C"/>
    <w:rsid w:val="00CE53CB"/>
    <w:rsid w:val="00D01B0E"/>
    <w:rsid w:val="00D1334D"/>
    <w:rsid w:val="00D154BE"/>
    <w:rsid w:val="00D16FC5"/>
    <w:rsid w:val="00D4486D"/>
    <w:rsid w:val="00D73DC3"/>
    <w:rsid w:val="00DB5F81"/>
    <w:rsid w:val="00DC2B73"/>
    <w:rsid w:val="00DE2682"/>
    <w:rsid w:val="00DE29E7"/>
    <w:rsid w:val="00DE5C32"/>
    <w:rsid w:val="00DE73D9"/>
    <w:rsid w:val="00DF2457"/>
    <w:rsid w:val="00E105DF"/>
    <w:rsid w:val="00E123FB"/>
    <w:rsid w:val="00E24574"/>
    <w:rsid w:val="00E31BC0"/>
    <w:rsid w:val="00E42753"/>
    <w:rsid w:val="00E577B7"/>
    <w:rsid w:val="00E612D2"/>
    <w:rsid w:val="00E75408"/>
    <w:rsid w:val="00E85105"/>
    <w:rsid w:val="00E9254F"/>
    <w:rsid w:val="00EA64EF"/>
    <w:rsid w:val="00EC0A59"/>
    <w:rsid w:val="00EE08A4"/>
    <w:rsid w:val="00EF737E"/>
    <w:rsid w:val="00F10BD0"/>
    <w:rsid w:val="00F1551D"/>
    <w:rsid w:val="00F6498A"/>
    <w:rsid w:val="00F66767"/>
    <w:rsid w:val="00F75CF0"/>
    <w:rsid w:val="00F86A7D"/>
    <w:rsid w:val="00F938E4"/>
    <w:rsid w:val="00FA193D"/>
    <w:rsid w:val="00FA6561"/>
    <w:rsid w:val="00FB6F43"/>
    <w:rsid w:val="00FC04F9"/>
    <w:rsid w:val="00FC7F1B"/>
    <w:rsid w:val="00FD1028"/>
    <w:rsid w:val="00FD1926"/>
    <w:rsid w:val="00FE5986"/>
    <w:rsid w:val="00FF0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62BB88-CA60-49A7-AAF7-4ED4390AC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5E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C59A9"/>
    <w:pPr>
      <w:spacing w:before="100" w:beforeAutospacing="1" w:after="100" w:afterAutospacing="1" w:line="240" w:lineRule="auto"/>
      <w:outlineLvl w:val="1"/>
    </w:pPr>
    <w:rPr>
      <w:rFonts w:eastAsia="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paragraph" w:styleId="z-TopofForm">
    <w:name w:val="HTML Top of Form"/>
    <w:basedOn w:val="Normal"/>
    <w:next w:val="Normal"/>
    <w:link w:val="z-TopofFormChar"/>
    <w:hidden/>
    <w:uiPriority w:val="99"/>
    <w:semiHidden/>
    <w:unhideWhenUsed/>
    <w:rsid w:val="005458A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458AB"/>
    <w:rPr>
      <w:rFonts w:ascii="Arial" w:eastAsia="Times New Roman" w:hAnsi="Arial" w:cs="Arial"/>
      <w:vanish/>
      <w:sz w:val="16"/>
      <w:szCs w:val="16"/>
    </w:rPr>
  </w:style>
  <w:style w:type="character" w:customStyle="1" w:styleId="gt-ft-text">
    <w:name w:val="gt-ft-text"/>
    <w:basedOn w:val="DefaultParagraphFont"/>
    <w:rsid w:val="005458AB"/>
  </w:style>
  <w:style w:type="character" w:styleId="Hyperlink">
    <w:name w:val="Hyperlink"/>
    <w:basedOn w:val="DefaultParagraphFont"/>
    <w:uiPriority w:val="99"/>
    <w:unhideWhenUsed/>
    <w:rsid w:val="005458AB"/>
    <w:rPr>
      <w:color w:val="0000FF"/>
      <w:u w:val="single"/>
    </w:rPr>
  </w:style>
  <w:style w:type="paragraph" w:styleId="z-BottomofForm">
    <w:name w:val="HTML Bottom of Form"/>
    <w:basedOn w:val="Normal"/>
    <w:next w:val="Normal"/>
    <w:link w:val="z-BottomofFormChar"/>
    <w:hidden/>
    <w:uiPriority w:val="99"/>
    <w:semiHidden/>
    <w:unhideWhenUsed/>
    <w:rsid w:val="005458A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458AB"/>
    <w:rPr>
      <w:rFonts w:ascii="Arial" w:eastAsia="Times New Roman" w:hAnsi="Arial" w:cs="Arial"/>
      <w:vanish/>
      <w:sz w:val="16"/>
      <w:szCs w:val="16"/>
    </w:rPr>
  </w:style>
  <w:style w:type="character" w:styleId="Strong">
    <w:name w:val="Strong"/>
    <w:basedOn w:val="DefaultParagraphFont"/>
    <w:qFormat/>
    <w:rsid w:val="005458AB"/>
    <w:rPr>
      <w:b/>
      <w:bCs/>
    </w:rPr>
  </w:style>
  <w:style w:type="character" w:customStyle="1" w:styleId="Heading2Char">
    <w:name w:val="Heading 2 Char"/>
    <w:basedOn w:val="DefaultParagraphFont"/>
    <w:link w:val="Heading2"/>
    <w:uiPriority w:val="9"/>
    <w:rsid w:val="00BC59A9"/>
    <w:rPr>
      <w:rFonts w:eastAsia="Times New Roman"/>
      <w:b/>
      <w:bCs/>
      <w:color w:val="auto"/>
      <w:sz w:val="36"/>
      <w:szCs w:val="36"/>
    </w:rPr>
  </w:style>
  <w:style w:type="paragraph" w:styleId="NormalWeb">
    <w:name w:val="Normal (Web)"/>
    <w:basedOn w:val="Normal"/>
    <w:uiPriority w:val="99"/>
    <w:semiHidden/>
    <w:unhideWhenUsed/>
    <w:rsid w:val="00BC59A9"/>
    <w:pPr>
      <w:spacing w:before="100" w:beforeAutospacing="1" w:after="100" w:afterAutospacing="1" w:line="240" w:lineRule="auto"/>
    </w:pPr>
    <w:rPr>
      <w:rFonts w:eastAsia="Times New Roman"/>
      <w:color w:val="auto"/>
    </w:rPr>
  </w:style>
  <w:style w:type="character" w:customStyle="1" w:styleId="mw-headline">
    <w:name w:val="mw-headline"/>
    <w:basedOn w:val="DefaultParagraphFont"/>
    <w:rsid w:val="00BC59A9"/>
  </w:style>
  <w:style w:type="character" w:customStyle="1" w:styleId="mw-editsection">
    <w:name w:val="mw-editsection"/>
    <w:basedOn w:val="DefaultParagraphFont"/>
    <w:rsid w:val="00BC59A9"/>
  </w:style>
  <w:style w:type="character" w:customStyle="1" w:styleId="mw-editsection-bracket">
    <w:name w:val="mw-editsection-bracket"/>
    <w:basedOn w:val="DefaultParagraphFont"/>
    <w:rsid w:val="00BC59A9"/>
  </w:style>
  <w:style w:type="character" w:customStyle="1" w:styleId="mw-cite-backlink">
    <w:name w:val="mw-cite-backlink"/>
    <w:basedOn w:val="DefaultParagraphFont"/>
    <w:rsid w:val="00BC59A9"/>
  </w:style>
  <w:style w:type="character" w:customStyle="1" w:styleId="cite-accessibility-label">
    <w:name w:val="cite-accessibility-label"/>
    <w:basedOn w:val="DefaultParagraphFont"/>
    <w:rsid w:val="00BC59A9"/>
  </w:style>
  <w:style w:type="character" w:customStyle="1" w:styleId="reference-text">
    <w:name w:val="reference-text"/>
    <w:basedOn w:val="DefaultParagraphFont"/>
    <w:rsid w:val="00BC59A9"/>
  </w:style>
  <w:style w:type="character" w:styleId="HTMLCite">
    <w:name w:val="HTML Cite"/>
    <w:basedOn w:val="DefaultParagraphFont"/>
    <w:uiPriority w:val="99"/>
    <w:semiHidden/>
    <w:unhideWhenUsed/>
    <w:rsid w:val="00BC59A9"/>
    <w:rPr>
      <w:i/>
      <w:iCs/>
    </w:rPr>
  </w:style>
  <w:style w:type="character" w:customStyle="1" w:styleId="reference-accessdate">
    <w:name w:val="reference-accessdate"/>
    <w:basedOn w:val="DefaultParagraphFont"/>
    <w:rsid w:val="00BC59A9"/>
  </w:style>
  <w:style w:type="character" w:customStyle="1" w:styleId="nowrap">
    <w:name w:val="nowrap"/>
    <w:basedOn w:val="DefaultParagraphFont"/>
    <w:rsid w:val="00BC59A9"/>
  </w:style>
  <w:style w:type="character" w:styleId="FollowedHyperlink">
    <w:name w:val="FollowedHyperlink"/>
    <w:basedOn w:val="DefaultParagraphFont"/>
    <w:uiPriority w:val="99"/>
    <w:semiHidden/>
    <w:unhideWhenUsed/>
    <w:rsid w:val="00BC59A9"/>
    <w:rPr>
      <w:color w:val="954F72" w:themeColor="followedHyperlink"/>
      <w:u w:val="single"/>
    </w:rPr>
  </w:style>
  <w:style w:type="paragraph" w:styleId="ListParagraph">
    <w:name w:val="List Paragraph"/>
    <w:basedOn w:val="Normal"/>
    <w:uiPriority w:val="34"/>
    <w:qFormat/>
    <w:rsid w:val="00BC59A9"/>
    <w:pPr>
      <w:ind w:left="720"/>
      <w:contextualSpacing/>
    </w:pPr>
  </w:style>
  <w:style w:type="character" w:customStyle="1" w:styleId="Heading1Char">
    <w:name w:val="Heading 1 Char"/>
    <w:basedOn w:val="DefaultParagraphFont"/>
    <w:link w:val="Heading1"/>
    <w:uiPriority w:val="9"/>
    <w:rsid w:val="00515E9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238917">
      <w:bodyDiv w:val="1"/>
      <w:marLeft w:val="0"/>
      <w:marRight w:val="0"/>
      <w:marTop w:val="0"/>
      <w:marBottom w:val="0"/>
      <w:divBdr>
        <w:top w:val="none" w:sz="0" w:space="0" w:color="auto"/>
        <w:left w:val="none" w:sz="0" w:space="0" w:color="auto"/>
        <w:bottom w:val="none" w:sz="0" w:space="0" w:color="auto"/>
        <w:right w:val="none" w:sz="0" w:space="0" w:color="auto"/>
      </w:divBdr>
    </w:div>
    <w:div w:id="1720938980">
      <w:bodyDiv w:val="1"/>
      <w:marLeft w:val="0"/>
      <w:marRight w:val="0"/>
      <w:marTop w:val="0"/>
      <w:marBottom w:val="0"/>
      <w:divBdr>
        <w:top w:val="none" w:sz="0" w:space="0" w:color="auto"/>
        <w:left w:val="none" w:sz="0" w:space="0" w:color="auto"/>
        <w:bottom w:val="none" w:sz="0" w:space="0" w:color="auto"/>
        <w:right w:val="none" w:sz="0" w:space="0" w:color="auto"/>
      </w:divBdr>
      <w:divsChild>
        <w:div w:id="674186093">
          <w:marLeft w:val="0"/>
          <w:marRight w:val="0"/>
          <w:marTop w:val="0"/>
          <w:marBottom w:val="0"/>
          <w:divBdr>
            <w:top w:val="none" w:sz="0" w:space="0" w:color="auto"/>
            <w:left w:val="none" w:sz="0" w:space="0" w:color="auto"/>
            <w:bottom w:val="none" w:sz="0" w:space="0" w:color="auto"/>
            <w:right w:val="none" w:sz="0" w:space="0" w:color="auto"/>
          </w:divBdr>
          <w:divsChild>
            <w:div w:id="1631129348">
              <w:marLeft w:val="0"/>
              <w:marRight w:val="0"/>
              <w:marTop w:val="0"/>
              <w:marBottom w:val="0"/>
              <w:divBdr>
                <w:top w:val="none" w:sz="0" w:space="0" w:color="auto"/>
                <w:left w:val="none" w:sz="0" w:space="0" w:color="auto"/>
                <w:bottom w:val="none" w:sz="0" w:space="0" w:color="auto"/>
                <w:right w:val="none" w:sz="0" w:space="0" w:color="auto"/>
              </w:divBdr>
            </w:div>
          </w:divsChild>
        </w:div>
        <w:div w:id="841311430">
          <w:marLeft w:val="0"/>
          <w:marRight w:val="0"/>
          <w:marTop w:val="0"/>
          <w:marBottom w:val="0"/>
          <w:divBdr>
            <w:top w:val="none" w:sz="0" w:space="0" w:color="auto"/>
            <w:left w:val="none" w:sz="0" w:space="0" w:color="auto"/>
            <w:bottom w:val="none" w:sz="0" w:space="0" w:color="auto"/>
            <w:right w:val="none" w:sz="0" w:space="0" w:color="auto"/>
          </w:divBdr>
          <w:divsChild>
            <w:div w:id="1360231457">
              <w:marLeft w:val="0"/>
              <w:marRight w:val="0"/>
              <w:marTop w:val="0"/>
              <w:marBottom w:val="0"/>
              <w:divBdr>
                <w:top w:val="none" w:sz="0" w:space="0" w:color="auto"/>
                <w:left w:val="none" w:sz="0" w:space="0" w:color="auto"/>
                <w:bottom w:val="none" w:sz="0" w:space="0" w:color="auto"/>
                <w:right w:val="none" w:sz="0" w:space="0" w:color="auto"/>
              </w:divBdr>
              <w:divsChild>
                <w:div w:id="1279262962">
                  <w:marLeft w:val="0"/>
                  <w:marRight w:val="0"/>
                  <w:marTop w:val="0"/>
                  <w:marBottom w:val="0"/>
                  <w:divBdr>
                    <w:top w:val="none" w:sz="0" w:space="0" w:color="auto"/>
                    <w:left w:val="none" w:sz="0" w:space="0" w:color="auto"/>
                    <w:bottom w:val="none" w:sz="0" w:space="0" w:color="auto"/>
                    <w:right w:val="none" w:sz="0" w:space="0" w:color="auto"/>
                  </w:divBdr>
                  <w:divsChild>
                    <w:div w:id="1153251898">
                      <w:marLeft w:val="0"/>
                      <w:marRight w:val="0"/>
                      <w:marTop w:val="0"/>
                      <w:marBottom w:val="0"/>
                      <w:divBdr>
                        <w:top w:val="none" w:sz="0" w:space="0" w:color="auto"/>
                        <w:left w:val="none" w:sz="0" w:space="0" w:color="auto"/>
                        <w:bottom w:val="none" w:sz="0" w:space="0" w:color="auto"/>
                        <w:right w:val="none" w:sz="0" w:space="0" w:color="auto"/>
                      </w:divBdr>
                      <w:divsChild>
                        <w:div w:id="480579460">
                          <w:marLeft w:val="0"/>
                          <w:marRight w:val="0"/>
                          <w:marTop w:val="0"/>
                          <w:marBottom w:val="0"/>
                          <w:divBdr>
                            <w:top w:val="none" w:sz="0" w:space="0" w:color="auto"/>
                            <w:left w:val="none" w:sz="0" w:space="0" w:color="auto"/>
                            <w:bottom w:val="none" w:sz="0" w:space="0" w:color="auto"/>
                            <w:right w:val="none" w:sz="0" w:space="0" w:color="auto"/>
                          </w:divBdr>
                          <w:divsChild>
                            <w:div w:id="762990972">
                              <w:marLeft w:val="0"/>
                              <w:marRight w:val="0"/>
                              <w:marTop w:val="0"/>
                              <w:marBottom w:val="0"/>
                              <w:divBdr>
                                <w:top w:val="none" w:sz="0" w:space="0" w:color="auto"/>
                                <w:left w:val="none" w:sz="0" w:space="0" w:color="auto"/>
                                <w:bottom w:val="none" w:sz="0" w:space="0" w:color="auto"/>
                                <w:right w:val="none" w:sz="0" w:space="0" w:color="auto"/>
                              </w:divBdr>
                              <w:divsChild>
                                <w:div w:id="14956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992867">
          <w:marLeft w:val="0"/>
          <w:marRight w:val="0"/>
          <w:marTop w:val="0"/>
          <w:marBottom w:val="0"/>
          <w:divBdr>
            <w:top w:val="none" w:sz="0" w:space="0" w:color="auto"/>
            <w:left w:val="none" w:sz="0" w:space="0" w:color="auto"/>
            <w:bottom w:val="none" w:sz="0" w:space="0" w:color="auto"/>
            <w:right w:val="none" w:sz="0" w:space="0" w:color="auto"/>
          </w:divBdr>
        </w:div>
      </w:divsChild>
    </w:div>
    <w:div w:id="2133017289">
      <w:bodyDiv w:val="1"/>
      <w:marLeft w:val="0"/>
      <w:marRight w:val="0"/>
      <w:marTop w:val="0"/>
      <w:marBottom w:val="0"/>
      <w:divBdr>
        <w:top w:val="none" w:sz="0" w:space="0" w:color="auto"/>
        <w:left w:val="none" w:sz="0" w:space="0" w:color="auto"/>
        <w:bottom w:val="none" w:sz="0" w:space="0" w:color="auto"/>
        <w:right w:val="none" w:sz="0" w:space="0" w:color="auto"/>
      </w:divBdr>
      <w:divsChild>
        <w:div w:id="1449159559">
          <w:marLeft w:val="0"/>
          <w:marRight w:val="0"/>
          <w:marTop w:val="0"/>
          <w:marBottom w:val="0"/>
          <w:divBdr>
            <w:top w:val="none" w:sz="0" w:space="0" w:color="auto"/>
            <w:left w:val="none" w:sz="0" w:space="0" w:color="auto"/>
            <w:bottom w:val="none" w:sz="0" w:space="0" w:color="auto"/>
            <w:right w:val="none" w:sz="0" w:space="0" w:color="auto"/>
          </w:divBdr>
          <w:divsChild>
            <w:div w:id="471562200">
              <w:marLeft w:val="0"/>
              <w:marRight w:val="0"/>
              <w:marTop w:val="0"/>
              <w:marBottom w:val="0"/>
              <w:divBdr>
                <w:top w:val="none" w:sz="0" w:space="0" w:color="auto"/>
                <w:left w:val="none" w:sz="0" w:space="0" w:color="auto"/>
                <w:bottom w:val="none" w:sz="0" w:space="0" w:color="auto"/>
                <w:right w:val="none" w:sz="0" w:space="0" w:color="auto"/>
              </w:divBdr>
              <w:divsChild>
                <w:div w:id="216087013">
                  <w:marLeft w:val="0"/>
                  <w:marRight w:val="0"/>
                  <w:marTop w:val="0"/>
                  <w:marBottom w:val="120"/>
                  <w:divBdr>
                    <w:top w:val="none" w:sz="0" w:space="0" w:color="auto"/>
                    <w:left w:val="none" w:sz="0" w:space="0" w:color="auto"/>
                    <w:bottom w:val="none" w:sz="0" w:space="0" w:color="auto"/>
                    <w:right w:val="none" w:sz="0" w:space="0" w:color="auto"/>
                  </w:divBdr>
                  <w:divsChild>
                    <w:div w:id="18978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589">
          <w:marLeft w:val="0"/>
          <w:marRight w:val="0"/>
          <w:marTop w:val="240"/>
          <w:marBottom w:val="0"/>
          <w:divBdr>
            <w:top w:val="single" w:sz="6" w:space="4" w:color="A2A9B1"/>
            <w:left w:val="single" w:sz="6" w:space="4" w:color="A2A9B1"/>
            <w:bottom w:val="single" w:sz="6" w:space="4" w:color="A2A9B1"/>
            <w:right w:val="single" w:sz="6" w:space="4" w:color="A2A9B1"/>
          </w:divBdr>
          <w:divsChild>
            <w:div w:id="8271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openxmlformats.org/officeDocument/2006/relationships/hyperlink" Target="http://www.rawvision.com/rawvision/current/tautautorajas/tautautorajas.html" TargetMode="External"/><Relationship Id="rId3" Type="http://schemas.openxmlformats.org/officeDocument/2006/relationships/settings" Target="settings.xml"/><Relationship Id="rId21" Type="http://schemas.openxmlformats.org/officeDocument/2006/relationships/hyperlink" Target="https://australianmuseum.net.au/image/tau-tau-gallery-at-toraja-burial-site" TargetMode="External"/><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hyperlink" Target="https://en.wikipedia.org/wiki/Tau_tau"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australianmuseum.net.au/image/Tau-tau-gallery-at-Toraja-burial-site/"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5" Type="http://schemas.microsoft.com/office/2007/relationships/hdphoto" Target="media/hdphoto5.wdp"/><Relationship Id="rId23" Type="http://schemas.openxmlformats.org/officeDocument/2006/relationships/theme" Target="theme/theme1.xml"/><Relationship Id="rId10" Type="http://schemas.microsoft.com/office/2007/relationships/hdphoto" Target="media/hdphoto3.wdp"/><Relationship Id="rId19" Type="http://schemas.openxmlformats.org/officeDocument/2006/relationships/hyperlink" Target="http://www.ncbi.nlm.nih.gov/pmc/articles/PMC2408594/figure/F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4</cp:revision>
  <dcterms:created xsi:type="dcterms:W3CDTF">2017-12-08T07:16:00Z</dcterms:created>
  <dcterms:modified xsi:type="dcterms:W3CDTF">2017-12-08T08:12:00Z</dcterms:modified>
</cp:coreProperties>
</file>