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vanish/>
          <w:lang w:val="fr-FR"/>
        </w:rPr>
      </w:pPr>
      <w:r>
        <w:rPr>
          <w:vanish/>
          <w:lang w:val="fr-FR"/>
        </w:rPr>
        <w:t>DIS-Pac-Poly-HI- Menehune-0-700 CE</w:t>
      </w:r>
    </w:p>
    <w:p>
      <w:pPr>
        <w:pStyle w:val="Normal"/>
        <w:jc w:val="center"/>
        <w:rPr/>
      </w:pPr>
      <w:r>
        <w:drawing>
          <wp:anchor behindDoc="0" distT="0" distB="0" distL="114935" distR="114935" simplePos="0" locked="0" layoutInCell="1" allowOverlap="1" relativeHeight="2">
            <wp:simplePos x="0" y="0"/>
            <wp:positionH relativeFrom="column">
              <wp:posOffset>3651250</wp:posOffset>
            </wp:positionH>
            <wp:positionV relativeFrom="paragraph">
              <wp:posOffset>326390</wp:posOffset>
            </wp:positionV>
            <wp:extent cx="2533650" cy="3810000"/>
            <wp:effectExtent l="0" t="0" r="0" b="0"/>
            <wp:wrapSquare wrapText="largest"/>
            <wp:docPr id="1" name="321838416295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21838416295_itemImage" descr="" title=""/>
                    <pic:cNvPicPr>
                      <a:picLocks noChangeAspect="1" noChangeArrowheads="1"/>
                    </pic:cNvPicPr>
                  </pic:nvPicPr>
                  <pic:blipFill>
                    <a:blip r:embed="rId2"/>
                    <a:srcRect l="-51" t="-34" r="-51" b="-34"/>
                    <a:stretch>
                      <a:fillRect/>
                    </a:stretch>
                  </pic:blipFill>
                  <pic:spPr bwMode="auto">
                    <a:xfrm>
                      <a:off x="0" y="0"/>
                      <a:ext cx="2533650" cy="3810000"/>
                    </a:xfrm>
                    <a:prstGeom prst="rect">
                      <a:avLst/>
                    </a:prstGeom>
                  </pic:spPr>
                </pic:pic>
              </a:graphicData>
            </a:graphic>
          </wp:anchor>
        </w:drawing>
      </w:r>
      <w:r>
        <w:rPr>
          <w:rFonts w:cs="Arial" w:ascii="Arial" w:hAnsi="Arial"/>
          <w:b/>
          <w:bCs/>
        </w:rPr>
        <w:t>H</w:t>
      </w:r>
      <w:r>
        <w:rPr>
          <w:rFonts w:cs="Arial" w:ascii="Arial" w:hAnsi="Arial"/>
          <w:b/>
          <w:bCs/>
        </w:rPr>
        <w:t xml:space="preserve">awai'ian </w:t>
      </w:r>
      <w:r>
        <w:rPr>
          <w:rFonts w:cs="Arial" w:ascii="Arial" w:hAnsi="Arial"/>
          <w:b/>
          <w:bCs/>
          <w:i/>
          <w:iCs/>
        </w:rPr>
        <w:t>menehune</w:t>
      </w:r>
      <w:r>
        <w:rPr>
          <w:rFonts w:cs="Arial" w:ascii="Arial" w:hAnsi="Arial"/>
          <w:b/>
          <w:bCs/>
        </w:rPr>
        <w:t xml:space="preserve"> carved in vesicular lava, ca. 0 to 700 CE</w:t>
      </w:r>
    </w:p>
    <w:p>
      <w:pPr>
        <w:pStyle w:val="Normal"/>
        <w:rPr>
          <w:rFonts w:ascii="Arial" w:hAnsi="Arial" w:cs="Arial"/>
          <w:b/>
          <w:b/>
          <w:bCs/>
        </w:rPr>
      </w:pPr>
      <w:r>
        <w:rPr>
          <w:rFonts w:cs="Arial" w:ascii="Arial" w:hAnsi="Arial"/>
          <w:b/>
          <w:bCs/>
        </w:rPr>
        <w:t xml:space="preserve">Hawai'ian </w:t>
      </w:r>
      <w:r>
        <w:rPr>
          <w:rFonts w:cs="Arial" w:ascii="Arial" w:hAnsi="Arial"/>
          <w:b/>
          <w:bCs/>
          <w:i/>
          <w:iCs/>
        </w:rPr>
        <w:t>menehune</w:t>
      </w:r>
      <w:r>
        <w:rPr>
          <w:rFonts w:cs="Arial" w:ascii="Arial" w:hAnsi="Arial"/>
          <w:b/>
          <w:bCs/>
        </w:rPr>
        <w:t xml:space="preserve"> carved in vesicular lava, ca. 0 to 700 CE, the oldest figure of a menehune yet discovered, since it precedes the later waves of migration to the Hawaiian Islands at the end of the Neo-Atlantic Altithermal period ca. 1200 CE. 15 in. high. For comparison, there is smaller vesicular lava head from Necker Island dated to the same period now in the Metropolitan Museum, New York. This </w:t>
      </w:r>
      <w:r>
        <w:rPr>
          <w:rFonts w:cs="Arial" w:ascii="Arial" w:hAnsi="Arial"/>
          <w:b/>
          <w:bCs/>
          <w:i/>
          <w:iCs/>
        </w:rPr>
        <w:t>menehune</w:t>
      </w:r>
      <w:r>
        <w:rPr>
          <w:rFonts w:cs="Arial" w:ascii="Arial" w:hAnsi="Arial"/>
          <w:b/>
          <w:bCs/>
        </w:rPr>
        <w:t xml:space="preserve"> holds an indistinct object possibly a lava knife used in human sacrifices, such as those practiced at the sacrificial site of Mo'okini in Kohala on the island of Hawaii. The figure appears to be male. The ghosting of a natural red pigment is present on the surface where the lava knife is depicted, possibly applied to this human figure during sacrificial ceremonies. </w:t>
      </w:r>
    </w:p>
    <w:p>
      <w:pPr>
        <w:pStyle w:val="Normal"/>
        <w:rPr>
          <w:rFonts w:ascii="Arial" w:hAnsi="Arial" w:cs="Arial"/>
          <w:b/>
          <w:b/>
          <w:bCs/>
        </w:rPr>
      </w:pPr>
      <w:r>
        <w:rPr>
          <w:rFonts w:cs="Arial" w:ascii="Arial" w:hAnsi="Arial"/>
          <w:b/>
          <w:bCs/>
        </w:rPr>
        <w:t xml:space="preserve">Excellent condition. </w:t>
      </w:r>
    </w:p>
    <w:p>
      <w:pPr>
        <w:pStyle w:val="Heading1"/>
        <w:rPr>
          <w:rStyle w:val="Articlecitationpages"/>
          <w:sz w:val="24"/>
          <w:szCs w:val="24"/>
        </w:rPr>
      </w:pPr>
      <w:r>
        <w:rPr>
          <w:sz w:val="24"/>
          <w:szCs w:val="24"/>
        </w:rPr>
        <w:t xml:space="preserve">Paleontological evidence for </w:t>
      </w:r>
      <w:r>
        <w:rPr>
          <w:rStyle w:val="Emphasis"/>
          <w:sz w:val="24"/>
          <w:szCs w:val="24"/>
        </w:rPr>
        <w:t>Homo floriensis</w:t>
      </w:r>
      <w:r>
        <w:rPr>
          <w:sz w:val="24"/>
          <w:szCs w:val="24"/>
        </w:rPr>
        <w:t xml:space="preserve"> on the island of Flores in Indonesia provides evidence for a small-bodied hominin proportionately equivalent to hominins that coexisted with </w:t>
      </w:r>
      <w:r>
        <w:rPr>
          <w:rStyle w:val="Emphasis"/>
          <w:sz w:val="24"/>
          <w:szCs w:val="24"/>
        </w:rPr>
        <w:t>Homo sapiens</w:t>
      </w:r>
      <w:r>
        <w:rPr>
          <w:sz w:val="24"/>
          <w:szCs w:val="24"/>
        </w:rPr>
        <w:t xml:space="preserve"> for some millennia on isolated islands such as Flores and the Hawai'ian Islands providing the basis for the mythic </w:t>
      </w:r>
      <w:r>
        <w:rPr>
          <w:i/>
          <w:iCs/>
          <w:sz w:val="24"/>
          <w:szCs w:val="24"/>
        </w:rPr>
        <w:t>menehune</w:t>
      </w:r>
      <w:r>
        <w:rPr>
          <w:sz w:val="24"/>
          <w:szCs w:val="24"/>
        </w:rPr>
        <w:t xml:space="preserve"> or "little people". Hominins such as </w:t>
      </w:r>
      <w:r>
        <w:rPr>
          <w:rStyle w:val="Emphasis"/>
          <w:sz w:val="24"/>
          <w:szCs w:val="24"/>
        </w:rPr>
        <w:t>Homo floriensis</w:t>
      </w:r>
      <w:r>
        <w:rPr>
          <w:sz w:val="24"/>
          <w:szCs w:val="24"/>
        </w:rPr>
        <w:t xml:space="preserve"> may represent sub-species of </w:t>
      </w:r>
      <w:r>
        <w:rPr>
          <w:rStyle w:val="Emphasis"/>
          <w:sz w:val="24"/>
          <w:szCs w:val="24"/>
        </w:rPr>
        <w:t>Homo sapiens</w:t>
      </w:r>
      <w:r>
        <w:rPr>
          <w:sz w:val="24"/>
          <w:szCs w:val="24"/>
        </w:rPr>
        <w:t xml:space="preserve"> who have undergone endemic dwarfism owing to their genetic isolation. See </w:t>
      </w:r>
      <w:r>
        <w:rPr>
          <w:rStyle w:val="Authorname"/>
          <w:sz w:val="24"/>
          <w:szCs w:val="24"/>
        </w:rPr>
        <w:t xml:space="preserve">Dixon P. W. 2004. </w:t>
      </w:r>
      <w:r>
        <w:rPr>
          <w:sz w:val="24"/>
          <w:szCs w:val="24"/>
          <w:lang w:val="en"/>
        </w:rPr>
        <w:t>The Hawaiian Menehune in myth and paleontology,</w:t>
      </w:r>
      <w:r>
        <w:rPr>
          <w:sz w:val="24"/>
          <w:szCs w:val="24"/>
        </w:rPr>
        <w:t xml:space="preserve"> </w:t>
      </w:r>
      <w:r>
        <w:rPr>
          <w:rStyle w:val="Journaltitle"/>
          <w:bCs/>
          <w:i/>
          <w:color w:val="000000"/>
          <w:sz w:val="24"/>
          <w:szCs w:val="24"/>
        </w:rPr>
        <w:t>Human Evolution</w:t>
      </w:r>
      <w:r>
        <w:rPr>
          <w:sz w:val="24"/>
          <w:szCs w:val="24"/>
        </w:rPr>
        <w:t xml:space="preserve"> </w:t>
      </w:r>
      <w:r>
        <w:rPr>
          <w:rStyle w:val="Articlecitationyear"/>
          <w:sz w:val="24"/>
          <w:szCs w:val="24"/>
        </w:rPr>
        <w:t>(</w:t>
      </w:r>
      <w:r>
        <w:rPr>
          <w:rStyle w:val="Articlecitationvolume"/>
          <w:sz w:val="24"/>
          <w:szCs w:val="24"/>
        </w:rPr>
        <w:t>19:</w:t>
      </w:r>
      <w:r>
        <w:rPr>
          <w:rStyle w:val="Articlecitationissue"/>
          <w:sz w:val="24"/>
          <w:szCs w:val="24"/>
        </w:rPr>
        <w:t xml:space="preserve"> 4,</w:t>
      </w:r>
      <w:r>
        <w:rPr>
          <w:rStyle w:val="Articlecitationpages"/>
          <w:sz w:val="24"/>
          <w:szCs w:val="24"/>
        </w:rPr>
        <w:t xml:space="preserve"> 287-291).</w:t>
      </w:r>
    </w:p>
    <w:p>
      <w:pPr>
        <w:pStyle w:val="Normal"/>
        <w:rPr>
          <w:rStyle w:val="Articlecitationpages"/>
          <w:sz w:val="24"/>
          <w:szCs w:val="24"/>
        </w:rPr>
      </w:pPr>
      <w:r>
        <w:rPr/>
      </w:r>
    </w:p>
    <w:p>
      <w:pPr>
        <w:pStyle w:val="Normal"/>
        <w:rPr>
          <w:rFonts w:ascii="Arial" w:hAnsi="Arial" w:cs="Arial"/>
          <w:b/>
          <w:b/>
          <w:bCs/>
        </w:rPr>
      </w:pPr>
      <w:r>
        <w:rPr>
          <w:rFonts w:cs="Arial" w:ascii="Arial" w:hAnsi="Arial"/>
          <w:b/>
          <w:bCs/>
        </w:rPr>
        <w:t>Additional References</w:t>
      </w:r>
    </w:p>
    <w:p>
      <w:pPr>
        <w:pStyle w:val="Normal"/>
        <w:numPr>
          <w:ilvl w:val="0"/>
          <w:numId w:val="2"/>
        </w:numPr>
        <w:spacing w:before="0" w:after="0"/>
        <w:rPr>
          <w:rFonts w:ascii="Arial" w:hAnsi="Arial" w:cs="Arial"/>
          <w:b/>
          <w:b/>
          <w:bCs/>
        </w:rPr>
      </w:pPr>
      <w:r>
        <w:rPr>
          <w:rStyle w:val="HTMLCite"/>
          <w:rFonts w:cs="Arial" w:ascii="Arial" w:hAnsi="Arial"/>
          <w:b/>
          <w:bCs/>
          <w:i w:val="false"/>
          <w:iCs w:val="false"/>
        </w:rPr>
        <w:t>Brown P., Sutikna T., Morwood M.J., Soejono R.P., Jatmiko Saptomo E.W., Rokus A.P. 2004. A new small-bodied hominin from the Late Pleistocene of Flores, Indonesia</w:t>
      </w:r>
      <w:r>
        <w:rPr>
          <w:rStyle w:val="HTMLCite"/>
          <w:rFonts w:cs="Arial" w:ascii="Arial" w:hAnsi="Arial"/>
          <w:b/>
          <w:bCs/>
        </w:rPr>
        <w:t xml:space="preserve">, </w:t>
      </w:r>
      <w:r>
        <w:rPr>
          <w:rStyle w:val="Emphasis"/>
          <w:rFonts w:cs="Arial" w:ascii="Arial" w:hAnsi="Arial"/>
          <w:b/>
          <w:bCs/>
        </w:rPr>
        <w:t xml:space="preserve">Nature </w:t>
      </w:r>
      <w:r>
        <w:rPr>
          <w:rStyle w:val="Emphasis"/>
          <w:rFonts w:cs="Arial" w:ascii="Arial" w:hAnsi="Arial"/>
          <w:b/>
          <w:bCs/>
          <w:i w:val="false"/>
          <w:iCs w:val="false"/>
        </w:rPr>
        <w:t>(140, 7012, 431</w:t>
      </w:r>
      <w:r>
        <w:rPr>
          <w:rStyle w:val="HTMLCite"/>
          <w:rFonts w:cs="Arial" w:ascii="Arial" w:hAnsi="Arial"/>
          <w:b/>
          <w:bCs/>
          <w:i w:val="false"/>
          <w:iCs w:val="false"/>
        </w:rPr>
        <w:t>, 1055–1061).</w:t>
      </w:r>
      <w:r>
        <w:rPr>
          <w:rFonts w:cs="Arial" w:ascii="Arial" w:hAnsi="Arial"/>
          <w:b/>
          <w:bCs/>
        </w:rPr>
        <w:t xml:space="preserve"> </w:t>
      </w:r>
    </w:p>
    <w:p>
      <w:pPr>
        <w:pStyle w:val="Normal"/>
        <w:numPr>
          <w:ilvl w:val="0"/>
          <w:numId w:val="2"/>
        </w:numPr>
        <w:spacing w:before="0" w:after="0"/>
        <w:rPr>
          <w:rFonts w:ascii="Arial" w:hAnsi="Arial" w:cs="Arial"/>
          <w:b/>
          <w:b/>
          <w:bCs/>
          <w:i/>
          <w:i/>
          <w:iCs/>
        </w:rPr>
      </w:pPr>
      <w:r>
        <w:rPr>
          <w:rStyle w:val="HTMLCite"/>
          <w:rFonts w:cs="Arial" w:ascii="Arial" w:hAnsi="Arial"/>
          <w:b/>
          <w:bCs/>
          <w:i w:val="false"/>
          <w:iCs w:val="false"/>
        </w:rPr>
        <w:t>Bruner E. 2004.</w:t>
      </w:r>
      <w:r>
        <w:rPr>
          <w:rStyle w:val="HTMLCite"/>
          <w:rFonts w:cs="Arial" w:ascii="Arial" w:hAnsi="Arial"/>
          <w:b/>
          <w:bCs/>
        </w:rPr>
        <w:t xml:space="preserve"> </w:t>
      </w:r>
      <w:r>
        <w:rPr>
          <w:rStyle w:val="HTMLCite"/>
          <w:rFonts w:cs="Arial" w:ascii="Arial" w:hAnsi="Arial"/>
          <w:b/>
          <w:bCs/>
          <w:i w:val="false"/>
          <w:iCs w:val="false"/>
        </w:rPr>
        <w:t>Evolution, actuality and species concept, a need for a paleontological tool,</w:t>
      </w:r>
      <w:r>
        <w:rPr>
          <w:rStyle w:val="HTMLCite"/>
          <w:rFonts w:cs="Arial" w:ascii="Arial" w:hAnsi="Arial"/>
          <w:b/>
          <w:bCs/>
        </w:rPr>
        <w:t xml:space="preserve"> </w:t>
      </w:r>
      <w:r>
        <w:rPr>
          <w:rStyle w:val="Emphasis"/>
          <w:rFonts w:cs="Arial" w:ascii="Arial" w:hAnsi="Arial"/>
          <w:b/>
          <w:bCs/>
        </w:rPr>
        <w:t xml:space="preserve">Human Evolution </w:t>
      </w:r>
      <w:r>
        <w:rPr>
          <w:rStyle w:val="Emphasis"/>
          <w:rFonts w:cs="Arial" w:ascii="Arial" w:hAnsi="Arial"/>
          <w:b/>
          <w:bCs/>
          <w:i w:val="false"/>
          <w:iCs w:val="false"/>
        </w:rPr>
        <w:t>(19:2</w:t>
      </w:r>
      <w:r>
        <w:rPr>
          <w:rStyle w:val="HTMLCite"/>
          <w:rFonts w:cs="Arial" w:ascii="Arial" w:hAnsi="Arial"/>
          <w:b/>
          <w:bCs/>
          <w:i w:val="false"/>
          <w:iCs w:val="false"/>
        </w:rPr>
        <w:t>, 93–112).</w:t>
      </w:r>
      <w:r>
        <w:rPr>
          <w:rFonts w:cs="Arial" w:ascii="Arial" w:hAnsi="Arial"/>
          <w:b/>
          <w:bCs/>
          <w:i/>
          <w:iCs/>
        </w:rPr>
        <w:t xml:space="preserve"> </w:t>
      </w:r>
    </w:p>
    <w:p>
      <w:pPr>
        <w:pStyle w:val="Normal"/>
        <w:numPr>
          <w:ilvl w:val="0"/>
          <w:numId w:val="2"/>
        </w:numPr>
        <w:spacing w:before="0" w:after="0"/>
        <w:rPr>
          <w:rFonts w:ascii="Arial" w:hAnsi="Arial" w:cs="Arial"/>
          <w:b/>
          <w:b/>
          <w:bCs/>
          <w:i/>
          <w:i/>
          <w:iCs/>
        </w:rPr>
      </w:pPr>
      <w:r>
        <w:rPr>
          <w:rStyle w:val="HTMLCite"/>
          <w:rFonts w:cs="Arial" w:ascii="Arial" w:hAnsi="Arial"/>
          <w:b/>
          <w:bCs/>
          <w:i w:val="false"/>
          <w:iCs w:val="false"/>
        </w:rPr>
        <w:t>Colum P. 1924.</w:t>
      </w:r>
      <w:r>
        <w:rPr>
          <w:rStyle w:val="HTMLCite"/>
          <w:rFonts w:cs="Arial" w:ascii="Arial" w:hAnsi="Arial"/>
          <w:b/>
          <w:bCs/>
        </w:rPr>
        <w:t xml:space="preserve"> At the Gateway of the Day. </w:t>
      </w:r>
      <w:r>
        <w:rPr>
          <w:rStyle w:val="HTMLCite"/>
          <w:rFonts w:cs="Arial" w:ascii="Arial" w:hAnsi="Arial"/>
          <w:b/>
          <w:bCs/>
          <w:i w:val="false"/>
          <w:iCs w:val="false"/>
        </w:rPr>
        <w:t>New Haven: Yale University Press, p. 156.</w:t>
      </w:r>
    </w:p>
    <w:p>
      <w:pPr>
        <w:pStyle w:val="Normal"/>
        <w:numPr>
          <w:ilvl w:val="0"/>
          <w:numId w:val="2"/>
        </w:numPr>
        <w:spacing w:before="0" w:after="0"/>
        <w:rPr>
          <w:rFonts w:ascii="Arial" w:hAnsi="Arial" w:cs="Arial"/>
          <w:b/>
          <w:b/>
          <w:bCs/>
        </w:rPr>
      </w:pPr>
      <w:r>
        <w:rPr>
          <w:rStyle w:val="HTMLCite"/>
          <w:rFonts w:cs="Arial" w:ascii="Arial" w:hAnsi="Arial"/>
          <w:b/>
          <w:bCs/>
          <w:i w:val="false"/>
          <w:iCs w:val="false"/>
        </w:rPr>
        <w:t>Kingsley P. 1998. In the dark places of wisdom,</w:t>
      </w:r>
      <w:r>
        <w:rPr>
          <w:rStyle w:val="HTMLCite"/>
          <w:rFonts w:cs="Arial" w:ascii="Arial" w:hAnsi="Arial"/>
          <w:b/>
          <w:bCs/>
        </w:rPr>
        <w:t xml:space="preserve"> </w:t>
      </w:r>
      <w:r>
        <w:rPr>
          <w:rStyle w:val="Emphasis"/>
          <w:rFonts w:cs="Arial" w:ascii="Arial" w:hAnsi="Arial"/>
          <w:b/>
          <w:bCs/>
        </w:rPr>
        <w:t xml:space="preserve">Parabola </w:t>
      </w:r>
      <w:r>
        <w:rPr>
          <w:rStyle w:val="Emphasis"/>
          <w:rFonts w:cs="Arial" w:ascii="Arial" w:hAnsi="Arial"/>
          <w:b/>
          <w:bCs/>
          <w:i w:val="false"/>
          <w:iCs w:val="false"/>
        </w:rPr>
        <w:t>(3:4</w:t>
      </w:r>
      <w:r>
        <w:rPr>
          <w:rStyle w:val="HTMLCite"/>
          <w:rFonts w:cs="Arial" w:ascii="Arial" w:hAnsi="Arial"/>
          <w:b/>
          <w:bCs/>
          <w:i w:val="false"/>
          <w:iCs w:val="false"/>
        </w:rPr>
        <w:t>, 40–46).</w:t>
      </w:r>
    </w:p>
    <w:p>
      <w:pPr>
        <w:pStyle w:val="Normal"/>
        <w:numPr>
          <w:ilvl w:val="0"/>
          <w:numId w:val="2"/>
        </w:numPr>
        <w:spacing w:before="0" w:after="0"/>
        <w:rPr>
          <w:rFonts w:ascii="Arial" w:hAnsi="Arial" w:cs="Arial"/>
          <w:b/>
          <w:b/>
          <w:bCs/>
          <w:i/>
          <w:i/>
          <w:iCs/>
        </w:rPr>
      </w:pPr>
      <w:r>
        <w:rPr>
          <w:rStyle w:val="HTMLCite"/>
          <w:rFonts w:cs="Arial" w:ascii="Arial" w:hAnsi="Arial"/>
          <w:b/>
          <w:bCs/>
          <w:i w:val="false"/>
          <w:iCs w:val="false"/>
        </w:rPr>
        <w:t>Metzeger B. 1929.</w:t>
      </w:r>
      <w:r>
        <w:rPr>
          <w:rStyle w:val="HTMLCite"/>
          <w:rFonts w:cs="Arial" w:ascii="Arial" w:hAnsi="Arial"/>
          <w:b/>
          <w:bCs/>
        </w:rPr>
        <w:t xml:space="preserve"> Tales told in Hawai'i. </w:t>
      </w:r>
      <w:r>
        <w:rPr>
          <w:rStyle w:val="HTMLCite"/>
          <w:rFonts w:cs="Arial" w:ascii="Arial" w:hAnsi="Arial"/>
          <w:b/>
          <w:bCs/>
          <w:i w:val="false"/>
          <w:iCs w:val="false"/>
        </w:rPr>
        <w:t>New York: Frederick A. Stokes Company, p. 97.</w:t>
      </w:r>
    </w:p>
    <w:p>
      <w:pPr>
        <w:pStyle w:val="Normal"/>
        <w:numPr>
          <w:ilvl w:val="0"/>
          <w:numId w:val="2"/>
        </w:numPr>
        <w:spacing w:before="0" w:after="0"/>
        <w:rPr>
          <w:rFonts w:ascii="Arial" w:hAnsi="Arial" w:cs="Arial"/>
          <w:b/>
          <w:b/>
          <w:bCs/>
          <w:i/>
          <w:i/>
          <w:iCs/>
        </w:rPr>
      </w:pPr>
      <w:r>
        <w:rPr>
          <w:rStyle w:val="HTMLCite"/>
          <w:rFonts w:cs="Arial" w:ascii="Arial" w:hAnsi="Arial"/>
          <w:b/>
          <w:bCs/>
          <w:i w:val="false"/>
          <w:iCs w:val="false"/>
        </w:rPr>
        <w:t xml:space="preserve">Morwood T., Soejuno R.P., Ruberts R.G., Sutikna T., Turney G.S.M., Westway K.E., Rink W.J., Zhao J.X., Von den Bergh G.D., Rokus A.P., Hobbe D.R., Moore M.W., Bird M.L., Fifleid L.K. 2004. Archeology and age of a new hominin from Flores, in eastern Indonesia, </w:t>
      </w:r>
      <w:r>
        <w:rPr>
          <w:rStyle w:val="Emphasis"/>
          <w:rFonts w:cs="Arial" w:ascii="Arial" w:hAnsi="Arial"/>
          <w:b/>
          <w:bCs/>
        </w:rPr>
        <w:t xml:space="preserve">Nature </w:t>
      </w:r>
      <w:r>
        <w:rPr>
          <w:rStyle w:val="Emphasis"/>
          <w:rFonts w:cs="Arial" w:ascii="Arial" w:hAnsi="Arial"/>
          <w:b/>
          <w:bCs/>
          <w:i w:val="false"/>
          <w:iCs w:val="false"/>
        </w:rPr>
        <w:t>(140: 7012, 431</w:t>
      </w:r>
      <w:r>
        <w:rPr>
          <w:rStyle w:val="HTMLCite"/>
          <w:rFonts w:cs="Arial" w:ascii="Arial" w:hAnsi="Arial"/>
          <w:b/>
          <w:bCs/>
          <w:i w:val="false"/>
          <w:iCs w:val="false"/>
        </w:rPr>
        <w:t>, pp. 1087–1091).</w:t>
      </w:r>
    </w:p>
    <w:p>
      <w:pPr>
        <w:pStyle w:val="Normal"/>
        <w:numPr>
          <w:ilvl w:val="0"/>
          <w:numId w:val="2"/>
        </w:numPr>
        <w:spacing w:before="0" w:after="0"/>
        <w:rPr>
          <w:rFonts w:ascii="Arial" w:hAnsi="Arial" w:cs="Arial"/>
          <w:b/>
          <w:b/>
          <w:bCs/>
          <w:i/>
          <w:i/>
          <w:iCs/>
        </w:rPr>
      </w:pPr>
      <w:r>
        <w:rPr>
          <w:rStyle w:val="HTMLCite"/>
          <w:rFonts w:cs="Arial" w:ascii="Arial" w:hAnsi="Arial"/>
          <w:b/>
          <w:bCs/>
          <w:i w:val="false"/>
          <w:iCs w:val="false"/>
        </w:rPr>
        <w:t xml:space="preserve">Pûku'i, M.K. 1994. </w:t>
      </w:r>
      <w:r>
        <w:rPr>
          <w:rStyle w:val="HTMLCite"/>
          <w:rFonts w:cs="Arial" w:ascii="Arial" w:hAnsi="Arial"/>
          <w:b/>
          <w:bCs/>
        </w:rPr>
        <w:t xml:space="preserve">The water of Kâne. </w:t>
      </w:r>
      <w:r>
        <w:rPr>
          <w:rStyle w:val="HTMLCite"/>
          <w:rFonts w:cs="Arial" w:ascii="Arial" w:hAnsi="Arial"/>
          <w:b/>
          <w:bCs/>
          <w:i w:val="false"/>
          <w:iCs w:val="false"/>
        </w:rPr>
        <w:t>Honolulu: The Kamehameha Schools Press, pp. 65–72.</w:t>
      </w:r>
    </w:p>
    <w:p>
      <w:pPr>
        <w:pStyle w:val="Normal"/>
        <w:numPr>
          <w:ilvl w:val="0"/>
          <w:numId w:val="2"/>
        </w:numPr>
        <w:spacing w:before="0" w:after="0"/>
        <w:rPr>
          <w:rFonts w:ascii="Arial" w:hAnsi="Arial" w:cs="Arial"/>
          <w:b/>
          <w:b/>
          <w:bCs/>
          <w:i/>
          <w:i/>
          <w:iCs/>
        </w:rPr>
      </w:pPr>
      <w:r>
        <w:rPr>
          <w:rStyle w:val="HTMLCite"/>
          <w:rFonts w:cs="Arial" w:ascii="Arial" w:hAnsi="Arial"/>
          <w:b/>
          <w:bCs/>
          <w:i w:val="false"/>
          <w:iCs w:val="false"/>
        </w:rPr>
        <w:t>Westervelt, W.D. 1926</w:t>
      </w:r>
      <w:r>
        <w:rPr>
          <w:rStyle w:val="HTMLCite"/>
          <w:rFonts w:cs="Arial" w:ascii="Arial" w:hAnsi="Arial"/>
          <w:b/>
          <w:bCs/>
        </w:rPr>
        <w:t xml:space="preserve">. Hawaiian historical legends. </w:t>
      </w:r>
      <w:r>
        <w:rPr>
          <w:rStyle w:val="HTMLCite"/>
          <w:rFonts w:cs="Arial" w:ascii="Arial" w:hAnsi="Arial"/>
          <w:b/>
          <w:bCs/>
          <w:i w:val="false"/>
          <w:iCs w:val="false"/>
        </w:rPr>
        <w:t>New York: Fleming H. Revell Company, p. 39.</w:t>
      </w:r>
    </w:p>
    <w:p>
      <w:pPr>
        <w:pStyle w:val="Normal"/>
        <w:numPr>
          <w:ilvl w:val="0"/>
          <w:numId w:val="2"/>
        </w:numPr>
        <w:spacing w:before="0" w:after="0"/>
        <w:rPr/>
      </w:pPr>
      <w:r>
        <w:rPr>
          <w:rStyle w:val="HTMLCite"/>
          <w:rFonts w:cs="Arial" w:ascii="Arial" w:hAnsi="Arial"/>
          <w:b/>
          <w:bCs/>
          <w:i w:val="false"/>
          <w:iCs w:val="false"/>
        </w:rPr>
        <w:t>Wheeler, P. 1953.</w:t>
      </w:r>
      <w:r>
        <w:rPr>
          <w:rStyle w:val="HTMLCite"/>
          <w:rFonts w:cs="Arial" w:ascii="Arial" w:hAnsi="Arial"/>
          <w:b/>
          <w:bCs/>
        </w:rPr>
        <w:t xml:space="preserve"> Hawaiian wonder tales. </w:t>
      </w:r>
      <w:r>
        <w:rPr>
          <w:rStyle w:val="HTMLCite"/>
          <w:rFonts w:cs="Arial" w:ascii="Arial" w:hAnsi="Arial"/>
          <w:b/>
          <w:bCs/>
          <w:i w:val="false"/>
          <w:iCs w:val="false"/>
        </w:rPr>
        <w:t>New York: The Beechurst Press, p.224.</w:t>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decimal"/>
      <w:lvlText w:val="%1."/>
      <w:lvlJc w:val="start"/>
      <w:pPr>
        <w:tabs>
          <w:tab w:val="num" w:pos="720"/>
        </w:tabs>
        <w:ind w:start="720" w:hanging="360"/>
      </w:pPr>
      <w:rPr>
        <w:i/>
        <w:b/>
        <w:iCs/>
        <w:bCs/>
        <w:rFonts w:ascii="Arial" w:hAnsi="Arial" w:cs="Arial"/>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WW8Num1z0">
    <w:name w:val="WW8Num1z0"/>
    <w:qFormat/>
    <w:rPr>
      <w:rFonts w:ascii="Arial" w:hAnsi="Arial" w:cs="Arial"/>
      <w:b/>
      <w:bCs/>
      <w:i/>
      <w:iCs/>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Journaltitle">
    <w:name w:val="journaltitle"/>
    <w:basedOn w:val="DefaultParagraphFont"/>
    <w:qFormat/>
    <w:rPr/>
  </w:style>
  <w:style w:type="character" w:styleId="Articlecitationyear">
    <w:name w:val="articlecitation_year"/>
    <w:basedOn w:val="DefaultParagraphFont"/>
    <w:qFormat/>
    <w:rPr/>
  </w:style>
  <w:style w:type="character" w:styleId="Articlecitationvolume">
    <w:name w:val="articlecitation_volume"/>
    <w:basedOn w:val="DefaultParagraphFont"/>
    <w:qFormat/>
    <w:rPr/>
  </w:style>
  <w:style w:type="character" w:styleId="Articlecitationissue">
    <w:name w:val="articlecitation_issue"/>
    <w:basedOn w:val="DefaultParagraphFont"/>
    <w:qFormat/>
    <w:rPr/>
  </w:style>
  <w:style w:type="character" w:styleId="Articlecitationpages">
    <w:name w:val="articlecitation_pages"/>
    <w:basedOn w:val="DefaultParagraphFont"/>
    <w:qFormat/>
    <w:rPr/>
  </w:style>
  <w:style w:type="character" w:styleId="Authorname">
    <w:name w:val="authorname"/>
    <w:basedOn w:val="DefaultParagraphFont"/>
    <w:qFormat/>
    <w:rPr/>
  </w:style>
  <w:style w:type="character" w:styleId="Emphasis">
    <w:name w:val="Emphasis"/>
    <w:basedOn w:val="DefaultParagraphFont"/>
    <w:qFormat/>
    <w:rPr>
      <w:i/>
      <w:iCs/>
    </w:rPr>
  </w:style>
  <w:style w:type="character" w:styleId="Keyword">
    <w:name w:val="keyword"/>
    <w:basedOn w:val="DefaultParagraphFont"/>
    <w:qFormat/>
    <w:rPr/>
  </w:style>
  <w:style w:type="character" w:styleId="HTMLCite">
    <w:name w:val="HTML Cite"/>
    <w:basedOn w:val="DefaultParagraphFont"/>
    <w:qFormat/>
    <w:rPr>
      <w:i/>
      <w:iCs/>
    </w:rPr>
  </w:style>
  <w:style w:type="character" w:styleId="Occurrenceoccurrencedoi">
    <w:name w:val="occurrence occurrencedoi"/>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ara">
    <w:name w:val="para"/>
    <w:basedOn w:val="Normal"/>
    <w:qFormat/>
    <w:pPr>
      <w:spacing w:before="280" w:after="280"/>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76</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2015-09-22T07:55:00Z</dcterms:created>
  <dc:creator>USER</dc:creator>
  <dc:description/>
  <dc:language>en-US</dc:language>
  <cp:lastModifiedBy>USER</cp:lastModifiedBy>
  <cp:lastPrinted>2015-09-22T10:12:00Z</cp:lastPrinted>
  <dcterms:modified xsi:type="dcterms:W3CDTF">2015-09-22T09:12:00Z</dcterms:modified>
  <cp:revision>15</cp:revision>
  <dc:subject/>
  <dc:title>DIS-Pac-Poly-HI- Menehune-0-700 CE</dc:title>
</cp:coreProperties>
</file>