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Verdana" w:ascii="Verdana" w:hAnsi="Verdana"/>
          <w:color w:val="000000"/>
          <w:sz w:val="20"/>
          <w:szCs w:val="20"/>
        </w:rPr>
        <w:t xml:space="preserve">A000-Asia-Gandhara Buddha, Kushan Period, ca. 3rd century CE. </w:t>
      </w:r>
    </w:p>
    <w:p>
      <w:pPr>
        <w:pStyle w:val="Normal"/>
        <w:rPr>
          <w:rFonts w:ascii="Verdana" w:hAnsi="Verdana" w:cs="Verdana"/>
          <w:color w:val="000000"/>
          <w:sz w:val="20"/>
          <w:szCs w:val="20"/>
        </w:rPr>
      </w:pPr>
      <w:r>
        <w:rPr>
          <w:rFonts w:cs="Verdana" w:ascii="Verdana" w:hAnsi="Verdana"/>
          <w:color w:val="000000"/>
          <w:sz w:val="20"/>
          <w:szCs w:val="20"/>
        </w:rPr>
        <w:t>Case no.: 3</w:t>
      </w:r>
    </w:p>
    <w:p>
      <w:pPr>
        <w:pStyle w:val="Normal"/>
        <w:rPr>
          <w:i/>
          <w:i/>
          <w:iCs/>
          <w:color w:val="000000"/>
          <w:szCs w:val="20"/>
        </w:rPr>
      </w:pPr>
      <w:r>
        <w:rPr>
          <w:color w:val="000000"/>
          <w:szCs w:val="20"/>
        </w:rPr>
        <w:t xml:space="preserve">Gandhara Buddha, Kushan Period, ca. 3rd century CE, schist. </w:t>
      </w:r>
      <w:r>
        <w:rPr>
          <w:rStyle w:val="Emphasis"/>
          <w:i w:val="false"/>
          <w:iCs w:val="false"/>
          <w:color w:val="000000"/>
          <w:szCs w:val="36"/>
          <w:shd w:fill="FFFFFF" w:val="clear"/>
        </w:rPr>
        <w:t>H: 7 3/4" x BASE 5.5" x actual figurine 5"high.</w:t>
      </w:r>
    </w:p>
    <w:p>
      <w:pPr>
        <w:pStyle w:val="Normal"/>
        <w:rPr>
          <w:i/>
          <w:i/>
          <w:iCs/>
          <w:color w:val="000000"/>
          <w:szCs w:val="20"/>
        </w:rPr>
      </w:pPr>
      <w:r>
        <w:rPr>
          <w:i/>
          <w:iCs/>
          <w:color w:val="000000"/>
          <w:szCs w:val="20"/>
        </w:rPr>
      </w:r>
    </w:p>
    <w:p>
      <w:pPr>
        <w:pStyle w:val="Normal"/>
        <w:rPr/>
      </w:pPr>
      <w:r>
        <w:rPr>
          <w:color w:val="000000"/>
          <w:szCs w:val="20"/>
        </w:rPr>
        <w:t xml:space="preserve">This Buddha from Ghandara is carved from schist. When Alexander the Great conquered Gandhara in 330 BCE with Indo-Greek kings, he introduced Greek artistic traditions deriving from Apollo Belvedere (330 BCE) and are found in both the drapery of this Buddha’s himation or robe and his stylized wavy topknot or ushnisha. He is seated on a pedestal rather than a lotus leaf before a circular </w:t>
      </w:r>
      <w:r>
        <w:rPr>
          <w:color w:val="252525"/>
          <w:szCs w:val="21"/>
          <w:shd w:fill="FFFFFF" w:val="clear"/>
        </w:rPr>
        <w:t>aureola and underneath a Greek-style freize.</w:t>
      </w:r>
      <w:r>
        <w:rPr>
          <w:color w:val="000000"/>
          <w:szCs w:val="20"/>
        </w:rPr>
        <w:t xml:space="preserve"> This rare example of Graeco-Buddhist art demonstrates syncretism between eastern and western traditions. </w:t>
      </w:r>
    </w:p>
    <w:p>
      <w:pPr>
        <w:pStyle w:val="Heading1"/>
        <w:rPr>
          <w:color w:val="000000"/>
          <w:szCs w:val="20"/>
        </w:rPr>
      </w:pPr>
      <w:r>
        <w:rPr>
          <w:color w:val="000000"/>
          <w:szCs w:val="20"/>
        </w:rPr>
      </w:r>
    </w:p>
    <w:p>
      <w:pPr>
        <w:pStyle w:val="Normal"/>
        <w:rPr/>
      </w:pPr>
      <w:r>
        <w:rPr/>
        <w:drawing>
          <wp:inline distT="0" distB="0" distL="0" distR="0">
            <wp:extent cx="2555240" cy="32524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2555240" cy="3252470"/>
                    </a:xfrm>
                    <a:prstGeom prst="rect">
                      <a:avLst/>
                    </a:prstGeom>
                  </pic:spPr>
                </pic:pic>
              </a:graphicData>
            </a:graphic>
          </wp:inline>
        </w:drawing>
      </w:r>
      <w:r>
        <w:rPr/>
        <w:drawing>
          <wp:inline distT="0" distB="0" distL="0" distR="0">
            <wp:extent cx="3601085" cy="32454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6" r="-6" b="-6"/>
                    <a:stretch>
                      <a:fillRect/>
                    </a:stretch>
                  </pic:blipFill>
                  <pic:spPr bwMode="auto">
                    <a:xfrm>
                      <a:off x="0" y="0"/>
                      <a:ext cx="3601085" cy="3245485"/>
                    </a:xfrm>
                    <a:prstGeom prst="rect">
                      <a:avLst/>
                    </a:prstGeom>
                  </pic:spPr>
                </pic:pic>
              </a:graphicData>
            </a:graphic>
          </wp:inline>
        </w:drawing>
      </w:r>
      <w:r>
        <w:br w:type="page"/>
      </w:r>
    </w:p>
    <w:p>
      <w:pPr>
        <w:pStyle w:val="Normal"/>
        <w:rPr/>
      </w:pPr>
      <w:r>
        <w:rPr/>
      </w:r>
    </w:p>
    <w:p>
      <w:pPr>
        <w:pStyle w:val="Normal"/>
        <w:shd w:fill="EEEEEE" w:val="clear"/>
        <w:spacing w:lineRule="atLeast" w:line="555"/>
        <w:rPr/>
      </w:pPr>
      <w:r>
        <w:rPr>
          <w:rStyle w:val="Ngbinding"/>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4" w:tgtFrame="_blank">
        <w:r>
          <w:rPr>
            <w:rStyle w:val="StrongEmphasis"/>
            <w:rFonts w:cs="Helvetica" w:ascii="Helvetica" w:hAnsi="Helvetica"/>
            <w:color w:val="6A29B9"/>
            <w:sz w:val="21"/>
            <w:szCs w:val="21"/>
          </w:rPr>
          <w:t>proverbs22_1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5" w:tgtFrame="_blank">
        <w:r>
          <w:rPr>
            <w:rStyle w:val="InternetLink"/>
            <w:rFonts w:cs="Helvetica" w:ascii="Helvetica" w:hAnsi="Helvetica"/>
            <w:color w:val="6A29B9"/>
            <w:sz w:val="21"/>
            <w:szCs w:val="21"/>
            <w:u w:val="none"/>
          </w:rPr>
          <w:t>1871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rPr>
          <w:rFonts w:ascii="Helvetica" w:hAnsi="Helvetica" w:cs="Helvetica"/>
          <w:color w:val="31708F"/>
          <w:sz w:val="21"/>
          <w:szCs w:val="21"/>
        </w:rPr>
      </w:pPr>
      <w:r>
        <w:rPr>
          <w:rStyle w:val="Ngbinding"/>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Wednesday, May 25,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Saturday, May 28, 2016</w:t>
      </w:r>
    </w:p>
    <w:p>
      <w:pPr>
        <w:pStyle w:val="Normal"/>
        <w:shd w:fill="FFFFFF" w:val="clear"/>
        <w:spacing w:lineRule="atLeast" w:line="210"/>
        <w:rPr>
          <w:rFonts w:ascii="Helvetica" w:hAnsi="Helvetica" w:cs="Helvetica"/>
          <w:color w:val="333333"/>
          <w:sz w:val="21"/>
          <w:szCs w:val="21"/>
        </w:rPr>
      </w:pPr>
      <w:r>
        <w:rPr>
          <w:rFonts w:cs="Helvetica" w:ascii="Helvetica" w:hAnsi="Helvetica"/>
          <w:color w:val="333333"/>
          <w:sz w:val="21"/>
          <w:szCs w:val="21"/>
        </w:rPr>
        <w:drawing>
          <wp:inline distT="0" distB="0" distL="0" distR="0">
            <wp:extent cx="4761865" cy="3571240"/>
            <wp:effectExtent l="0" t="0" r="0" b="0"/>
            <wp:docPr id="3" name="30184617729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846177299_itemImage" descr="" title=""/>
                    <pic:cNvPicPr>
                      <a:picLocks noChangeAspect="1" noChangeArrowheads="1"/>
                    </pic:cNvPicPr>
                  </pic:nvPicPr>
                  <pic:blipFill>
                    <a:blip r:embed="rId6"/>
                    <a:srcRect l="-5" t="-7" r="-5" b="-7"/>
                    <a:stretch>
                      <a:fillRect/>
                    </a:stretch>
                  </pic:blipFill>
                  <pic:spPr bwMode="auto">
                    <a:xfrm>
                      <a:off x="0" y="0"/>
                      <a:ext cx="4761865" cy="3571240"/>
                    </a:xfrm>
                    <a:prstGeom prst="rect">
                      <a:avLst/>
                    </a:prstGeom>
                  </pic:spPr>
                </pic:pic>
              </a:graphicData>
            </a:graphic>
          </wp:inline>
        </w:drawing>
      </w:r>
    </w:p>
    <w:p>
      <w:pPr>
        <w:pStyle w:val="Heading4"/>
        <w:shd w:fill="FFFFFF" w:val="clear"/>
        <w:spacing w:lineRule="atLeast" w:line="300" w:before="0" w:after="0"/>
        <w:ind w:start="-150" w:end="-225" w:hanging="0"/>
        <w:rPr>
          <w:rFonts w:ascii="Helvetica" w:hAnsi="Helvetica" w:cs="Helvetica"/>
          <w:color w:val="333333"/>
        </w:rPr>
      </w:pPr>
      <w:hyperlink r:id="rId7" w:tgtFrame="_blank">
        <w:r>
          <w:rPr>
            <w:rStyle w:val="InternetLink"/>
            <w:rFonts w:cs="Helvetica" w:ascii="Helvetica" w:hAnsi="Helvetica"/>
            <w:color w:val="333333"/>
            <w:u w:val="none"/>
          </w:rPr>
          <w:t>Gandhara/Gandharan Stone Figure 300 AD Western Pakistan</w:t>
        </w:r>
      </w:hyperlink>
    </w:p>
    <w:tbl>
      <w:tblPr>
        <w:tblW w:w="3273" w:type="dxa"/>
        <w:jc w:val="start"/>
        <w:tblInd w:w="-300" w:type="dxa"/>
        <w:tblBorders/>
        <w:tblCellMar>
          <w:top w:w="75" w:type="dxa"/>
          <w:start w:w="75" w:type="dxa"/>
          <w:bottom w:w="75" w:type="dxa"/>
          <w:end w:w="75" w:type="dxa"/>
        </w:tblCellMar>
      </w:tblPr>
      <w:tblGrid>
        <w:gridCol w:w="1556"/>
        <w:gridCol w:w="1717"/>
      </w:tblGrid>
      <w:tr>
        <w:trPr/>
        <w:tc>
          <w:tcPr>
            <w:tcW w:w="1556" w:type="dxa"/>
            <w:tcBorders/>
            <w:shd w:fill="auto" w:val="clear"/>
            <w:vAlign w:val="center"/>
          </w:tcPr>
          <w:p>
            <w:pPr>
              <w:pStyle w:val="Normal"/>
              <w:spacing w:lineRule="atLeast" w:line="225"/>
              <w:rPr>
                <w:b/>
                <w:b/>
                <w:bCs/>
                <w:sz w:val="20"/>
                <w:szCs w:val="20"/>
              </w:rPr>
            </w:pPr>
            <w:r>
              <w:rPr>
                <w:b/>
                <w:bCs/>
                <w:sz w:val="20"/>
                <w:szCs w:val="20"/>
              </w:rPr>
              <w:t>Item price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$285.00</w:t>
            </w:r>
          </w:p>
        </w:tc>
      </w:tr>
      <w:tr>
        <w:trPr/>
        <w:tc>
          <w:tcPr>
            <w:tcW w:w="1556" w:type="dxa"/>
            <w:tcBorders/>
            <w:shd w:fill="auto" w:val="clear"/>
            <w:vAlign w:val="center"/>
          </w:tcPr>
          <w:p>
            <w:pPr>
              <w:pStyle w:val="Normal"/>
              <w:spacing w:lineRule="atLeast" w:line="225"/>
              <w:rPr>
                <w:b/>
                <w:b/>
                <w:bCs/>
                <w:sz w:val="20"/>
                <w:szCs w:val="20"/>
              </w:rPr>
            </w:pPr>
            <w:r>
              <w:rPr>
                <w:b/>
                <w:bCs/>
                <w:sz w:val="20"/>
                <w:szCs w:val="20"/>
              </w:rPr>
              <w:t>Quantity</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1</w:t>
            </w:r>
          </w:p>
        </w:tc>
      </w:tr>
      <w:tr>
        <w:trPr/>
        <w:tc>
          <w:tcPr>
            <w:tcW w:w="1556" w:type="dxa"/>
            <w:tcBorders/>
            <w:shd w:fill="auto" w:val="clear"/>
            <w:vAlign w:val="center"/>
          </w:tcPr>
          <w:p>
            <w:pPr>
              <w:pStyle w:val="Normal"/>
              <w:spacing w:lineRule="atLeast" w:line="225"/>
              <w:rPr>
                <w:b/>
                <w:b/>
                <w:bCs/>
                <w:sz w:val="20"/>
                <w:szCs w:val="20"/>
              </w:rPr>
            </w:pPr>
            <w:r>
              <w:rPr>
                <w:b/>
                <w:bCs/>
                <w:sz w:val="20"/>
                <w:szCs w:val="20"/>
              </w:rPr>
              <w:t>Item number</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301846177299</w:t>
            </w:r>
          </w:p>
        </w:tc>
      </w:tr>
      <w:tr>
        <w:trPr/>
        <w:tc>
          <w:tcPr>
            <w:tcW w:w="1556" w:type="dxa"/>
            <w:tcBorders/>
            <w:shd w:fill="auto" w:val="clear"/>
            <w:vAlign w:val="center"/>
          </w:tcPr>
          <w:p>
            <w:pPr>
              <w:pStyle w:val="Normal"/>
              <w:spacing w:lineRule="atLeast" w:line="225"/>
              <w:rPr>
                <w:b/>
                <w:b/>
                <w:bCs/>
                <w:sz w:val="20"/>
                <w:szCs w:val="20"/>
              </w:rPr>
            </w:pPr>
            <w:r>
              <w:rPr>
                <w:b/>
                <w:bCs/>
                <w:sz w:val="20"/>
                <w:szCs w:val="20"/>
              </w:rPr>
              <w:t>Shipping service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rStyle w:val="Ngbindingngscope"/>
                <w:sz w:val="20"/>
                <w:szCs w:val="20"/>
              </w:rPr>
              <w:t>USPS Priority Mail</w:t>
            </w:r>
          </w:p>
        </w:tc>
      </w:tr>
    </w:tbl>
    <w:p>
      <w:pPr>
        <w:pStyle w:val="Normal"/>
        <w:shd w:fill="FFFFFF" w:val="clear"/>
        <w:spacing w:lineRule="atLeast" w:line="210"/>
        <w:jc w:val="end"/>
        <w:rPr>
          <w:rFonts w:ascii="Helvetica" w:hAnsi="Helvetica" w:cs="Helvetica"/>
          <w:color w:val="333333"/>
          <w:sz w:val="21"/>
          <w:szCs w:val="21"/>
        </w:rPr>
      </w:pPr>
      <w:hyperlink r:id="rId8" w:tgtFrame="_blank">
        <w:r>
          <w:rPr>
            <w:rStyle w:val="InternetLink"/>
            <w:rFonts w:cs="Helvetica" w:ascii="Helvetica" w:hAnsi="Helvetica"/>
            <w:color w:val="6A29B9"/>
            <w:u w:val="none"/>
            <w:shd w:fill="FFFFFF" w:val="clear"/>
          </w:rPr>
          <w:t>Contact seller</w:t>
        </w:r>
      </w:hyperlink>
    </w:p>
    <w:p>
      <w:pPr>
        <w:pStyle w:val="Normal"/>
        <w:shd w:fill="FFFFFF" w:val="clear"/>
        <w:spacing w:lineRule="atLeast" w:line="210" w:before="75" w:after="0"/>
        <w:jc w:val="end"/>
        <w:rPr>
          <w:rFonts w:ascii="Helvetica" w:hAnsi="Helvetica" w:cs="Helvetica"/>
          <w:color w:val="333333"/>
          <w:sz w:val="21"/>
          <w:szCs w:val="21"/>
        </w:rPr>
      </w:pPr>
      <w:hyperlink r:id="rId9" w:tgtFrame="_blank">
        <w:r>
          <w:rPr>
            <w:rStyle w:val="InternetLink"/>
            <w:rFonts w:cs="Helvetica" w:ascii="Helvetica" w:hAnsi="Helvetica"/>
            <w:color w:val="6A29B9"/>
            <w:u w:val="none"/>
            <w:shd w:fill="FFFFFF" w:val="clear"/>
          </w:rPr>
          <w:t>Return item</w:t>
        </w:r>
      </w:hyperlink>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Shipping address</w:t>
      </w:r>
    </w:p>
    <w:p>
      <w:pPr>
        <w:pStyle w:val="Normal"/>
        <w:pBdr>
          <w:top w:val="single" w:sz="6" w:space="15" w:color="DDDDDD"/>
          <w:left w:val="single" w:sz="6" w:space="15" w:color="DDDDDD"/>
          <w:bottom w:val="single" w:sz="6" w:space="15" w:color="DDDDDD"/>
          <w:right w:val="single" w:sz="6" w:space="15" w:color="DDDDDD"/>
        </w:pBdr>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br/>
      </w:r>
    </w:p>
    <w:p>
      <w:pPr>
        <w:pStyle w:val="Normal"/>
        <w:shd w:fill="FFFFFF" w:val="clear"/>
        <w:spacing w:lineRule="atLeast" w:line="312"/>
        <w:rPr/>
      </w:pPr>
      <w:r>
        <w:rPr>
          <w:rStyle w:val="StrongEmphasis"/>
          <w:rFonts w:cs="Helvetica" w:ascii="Helvetica" w:hAnsi="Helvetica"/>
          <w:color w:val="333333"/>
          <w:sz w:val="21"/>
          <w:szCs w:val="21"/>
        </w:rPr>
        <w:t>Ralph J Coffman Jr</w:t>
      </w:r>
      <w:r>
        <w:rPr>
          <w:rFonts w:cs="Helvetica" w:ascii="Helvetica" w:hAnsi="Helvetica"/>
          <w:color w:val="333333"/>
          <w:sz w:val="21"/>
          <w:szCs w:val="21"/>
        </w:rPr>
        <w:br/>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149 Atlantic Ave</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Swampscott MA 01907-2427</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United States</w:t>
      </w:r>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Order total</w:t>
      </w:r>
    </w:p>
    <w:p>
      <w:pPr>
        <w:pStyle w:val="Normal"/>
        <w:shd w:fill="FFFFFF" w:val="clear"/>
        <w:spacing w:lineRule="atLeast" w:line="210"/>
        <w:rPr>
          <w:rFonts w:ascii="Helvetica" w:hAnsi="Helvetica" w:cs="Helvetica"/>
          <w:b/>
          <w:b/>
          <w:bCs/>
          <w:color w:val="333333"/>
          <w:sz w:val="21"/>
          <w:szCs w:val="21"/>
        </w:rPr>
      </w:pPr>
      <w:r>
        <w:rPr>
          <w:rFonts w:cs="Helvetica" w:ascii="Helvetica" w:hAnsi="Helvetica"/>
          <w:b/>
          <w:bCs/>
          <w:color w:val="333333"/>
          <w:sz w:val="21"/>
          <w:szCs w:val="21"/>
        </w:rPr>
      </w:r>
    </w:p>
    <w:tbl>
      <w:tblPr>
        <w:tblW w:w="4920" w:type="dxa"/>
        <w:jc w:val="start"/>
        <w:tblInd w:w="-120" w:type="dxa"/>
        <w:tblBorders/>
        <w:tblCellMar>
          <w:top w:w="120" w:type="dxa"/>
          <w:start w:w="120" w:type="dxa"/>
          <w:bottom w:w="120" w:type="dxa"/>
          <w:end w:w="120" w:type="dxa"/>
        </w:tblCellMar>
      </w:tblPr>
      <w:tblGrid>
        <w:gridCol w:w="2614"/>
        <w:gridCol w:w="2306"/>
      </w:tblGrid>
      <w:tr>
        <w:trPr/>
        <w:tc>
          <w:tcPr>
            <w:tcW w:w="2614" w:type="dxa"/>
            <w:tcBorders/>
            <w:shd w:fill="auto" w:val="clear"/>
          </w:tcPr>
          <w:p>
            <w:pPr>
              <w:pStyle w:val="Normal"/>
              <w:rPr>
                <w:b/>
                <w:b/>
                <w:bCs/>
                <w:sz w:val="21"/>
                <w:szCs w:val="21"/>
              </w:rPr>
            </w:pPr>
            <w:r>
              <w:rPr>
                <w:b/>
                <w:bCs/>
                <w:sz w:val="21"/>
                <w:szCs w:val="21"/>
              </w:rPr>
              <w:t>Subtotal</w:t>
            </w:r>
          </w:p>
        </w:tc>
        <w:tc>
          <w:tcPr>
            <w:tcW w:w="2306" w:type="dxa"/>
            <w:tcBorders/>
            <w:shd w:fill="auto" w:val="clear"/>
            <w:tcMar>
              <w:top w:w="0" w:type="dxa"/>
              <w:start w:w="0" w:type="dxa"/>
              <w:bottom w:w="0" w:type="dxa"/>
              <w:end w:w="0" w:type="dxa"/>
            </w:tcMar>
          </w:tcPr>
          <w:p>
            <w:pPr>
              <w:pStyle w:val="Normal"/>
              <w:jc w:val="end"/>
              <w:rPr>
                <w:sz w:val="21"/>
                <w:szCs w:val="21"/>
              </w:rPr>
            </w:pPr>
            <w:r>
              <w:rPr>
                <w:rStyle w:val="Ngbinding"/>
                <w:sz w:val="21"/>
                <w:szCs w:val="21"/>
              </w:rPr>
              <w:t>$285.00</w:t>
            </w:r>
          </w:p>
        </w:tc>
      </w:tr>
      <w:tr>
        <w:trPr/>
        <w:tc>
          <w:tcPr>
            <w:tcW w:w="2614" w:type="dxa"/>
            <w:tcBorders>
              <w:top w:val="single" w:sz="6" w:space="0" w:color="DDDDDD"/>
            </w:tcBorders>
            <w:shd w:fill="auto" w:val="clear"/>
          </w:tcPr>
          <w:p>
            <w:pPr>
              <w:pStyle w:val="Normal"/>
              <w:rPr>
                <w:b/>
                <w:b/>
                <w:bCs/>
                <w:sz w:val="21"/>
                <w:szCs w:val="21"/>
              </w:rPr>
            </w:pPr>
            <w:r>
              <w:rPr>
                <w:b/>
                <w:bCs/>
                <w:sz w:val="21"/>
                <w:szCs w:val="21"/>
              </w:rPr>
              <w:t>Shipping</w:t>
            </w:r>
          </w:p>
        </w:tc>
        <w:tc>
          <w:tcPr>
            <w:tcW w:w="2306" w:type="dxa"/>
            <w:tcBorders>
              <w:top w:val="single" w:sz="6" w:space="0" w:color="DDDDDD"/>
            </w:tcBorders>
            <w:shd w:fill="auto" w:val="clear"/>
            <w:tcMar>
              <w:top w:w="0" w:type="dxa"/>
              <w:start w:w="0" w:type="dxa"/>
              <w:bottom w:w="0" w:type="dxa"/>
              <w:end w:w="0" w:type="dxa"/>
            </w:tcMar>
          </w:tcPr>
          <w:p>
            <w:pPr>
              <w:pStyle w:val="Normal"/>
              <w:jc w:val="end"/>
              <w:rPr>
                <w:sz w:val="21"/>
                <w:szCs w:val="21"/>
              </w:rPr>
            </w:pPr>
            <w:r>
              <w:rPr>
                <w:rStyle w:val="Ngbindingngscope"/>
                <w:sz w:val="21"/>
                <w:szCs w:val="21"/>
              </w:rPr>
              <w:t>$31.82</w:t>
            </w:r>
          </w:p>
        </w:tc>
      </w:tr>
    </w:tbl>
    <w:p>
      <w:pPr>
        <w:pStyle w:val="NormalWeb"/>
        <w:shd w:fill="EEEEEE" w:val="clear"/>
        <w:spacing w:lineRule="atLeast" w:line="210" w:before="0" w:after="0"/>
        <w:jc w:val="end"/>
        <w:rPr>
          <w:rFonts w:ascii="Helvetica" w:hAnsi="Helvetica" w:cs="Helvetica"/>
          <w:color w:val="333333"/>
          <w:sz w:val="21"/>
          <w:szCs w:val="21"/>
        </w:rPr>
      </w:pPr>
      <w:r>
        <w:rPr>
          <w:rFonts w:cs="Helvetica" w:ascii="Helvetica" w:hAnsi="Helvetica"/>
          <w:b/>
          <w:bCs/>
          <w:color w:val="333333"/>
          <w:sz w:val="21"/>
          <w:szCs w:val="21"/>
        </w:rPr>
        <w:t>Total</w:t>
      </w:r>
    </w:p>
    <w:p>
      <w:pPr>
        <w:pStyle w:val="Normal"/>
        <w:shd w:fill="EEEEEE" w:val="clear"/>
        <w:spacing w:lineRule="atLeast" w:line="210"/>
        <w:jc w:val="end"/>
        <w:rPr>
          <w:rFonts w:ascii="Helvetica" w:hAnsi="Helvetica" w:cs="Helvetica"/>
          <w:color w:val="333333"/>
          <w:sz w:val="21"/>
          <w:szCs w:val="21"/>
        </w:rPr>
      </w:pPr>
      <w:r>
        <w:rPr>
          <w:rStyle w:val="Ngbindingordertotalcost"/>
          <w:rFonts w:cs="Helvetica" w:ascii="Helvetica" w:hAnsi="Helvetica"/>
          <w:color w:val="333333"/>
          <w:sz w:val="38"/>
          <w:szCs w:val="38"/>
        </w:rPr>
        <w:t>$316.82</w:t>
      </w:r>
    </w:p>
    <w:p>
      <w:pPr>
        <w:pStyle w:val="Normal"/>
        <w:shd w:fill="EEEEEE" w:val="clear"/>
        <w:spacing w:lineRule="atLeast" w:line="210" w:before="150" w:after="0"/>
        <w:ind w:start="-225" w:end="-225" w:hanging="0"/>
        <w:jc w:val="end"/>
        <w:rPr>
          <w:rFonts w:ascii="Helvetica" w:hAnsi="Helvetica" w:cs="Helvetica"/>
          <w:color w:val="333333"/>
          <w:sz w:val="21"/>
          <w:szCs w:val="21"/>
        </w:rPr>
      </w:pPr>
      <w:hyperlink r:id="rId10" w:tgtFrame="_blank">
        <w:r>
          <w:rPr>
            <w:rStyle w:val="InternetLink"/>
            <w:rFonts w:cs="Helvetica" w:ascii="Helvetica" w:hAnsi="Helvetica"/>
            <w:color w:val="6A29B9"/>
            <w:u w:val="none"/>
            <w:shd w:fill="428BCA" w:val="clear"/>
          </w:rPr>
          <w:t>View PayPal transaction</w:t>
        </w:r>
      </w:hyperlink>
    </w:p>
    <w:p>
      <w:pPr>
        <w:pStyle w:val="Normal"/>
        <w:shd w:fill="F8F8F8" w:val="clear"/>
        <w:spacing w:lineRule="atLeast" w:line="210"/>
        <w:rPr>
          <w:rFonts w:ascii="Helvetica" w:hAnsi="Helvetica" w:cs="Helvetica"/>
          <w:color w:val="333333"/>
          <w:sz w:val="21"/>
          <w:szCs w:val="21"/>
        </w:rPr>
      </w:pPr>
      <w:r>
        <w:rPr>
          <w:rFonts w:cs="Helvetica" w:ascii="Helvetica" w:hAnsi="Helvetica"/>
          <w:color w:val="333333"/>
          <w:sz w:val="21"/>
          <w:szCs w:val="21"/>
        </w:rPr>
        <w:br/>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Order placed on</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method</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PayPal</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date</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ormal"/>
        <w:rPr>
          <w:rFonts w:ascii="Helvetica" w:hAnsi="Helvetica" w:cs="Helvetica"/>
          <w:color w:val="333333"/>
          <w:sz w:val="21"/>
          <w:szCs w:val="21"/>
        </w:rPr>
      </w:pPr>
      <w:r>
        <w:rPr>
          <w:rFonts w:cs="Helvetica" w:ascii="Helvetica" w:hAnsi="Helvetica"/>
          <w:color w:val="333333"/>
          <w:sz w:val="21"/>
          <w:szCs w:val="2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color w:val="000000"/>
      <w:szCs w:val="36"/>
      <w:shd w:fill="FFFFFF" w:val="clear"/>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myworld.ebay.com/proverbs22_1" TargetMode="External"/><Relationship Id="rId5" Type="http://schemas.openxmlformats.org/officeDocument/2006/relationships/hyperlink" Target="http://feedback.ebay.com/ws/eBayISAPI.dll?ViewFeedback&amp;userid=proverbs22_1" TargetMode="External"/><Relationship Id="rId6" Type="http://schemas.openxmlformats.org/officeDocument/2006/relationships/image" Target="media/image3.jpeg"/><Relationship Id="rId7" Type="http://schemas.openxmlformats.org/officeDocument/2006/relationships/hyperlink" Target="http://www.ebay.com/itm/301846177299" TargetMode="External"/><Relationship Id="rId8" Type="http://schemas.openxmlformats.org/officeDocument/2006/relationships/hyperlink" Target="http://contact.ebay.com/ws/eBayISAPI.dll?FindAnswers&amp;frm=3998&amp;iid=301846177299&amp;redirect=0&amp;requested=proverbs22_1" TargetMode="External"/><Relationship Id="rId9" Type="http://schemas.openxmlformats.org/officeDocument/2006/relationships/hyperlink" Target="https://www.ebay.com/rtn/Return/ReturnViewSelectedItem?transactionId=1260731703020&amp;itemId=301846177299&amp;_trksid=p2057872.m2749.l3185" TargetMode="External"/><Relationship Id="rId10" Type="http://schemas.openxmlformats.org/officeDocument/2006/relationships/hyperlink" Target="http://payments.ebay.com/ws/eBayISAPI.dll?UnifiedCheckoutSummaryRedirect2PP&amp;itemid=301846177299&amp;transId=1260731703020&amp;buyerorseller=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2018-08-06T14:34:00Z</dcterms:created>
  <dc:creator>owner</dc:creator>
  <dc:description/>
  <cp:keywords/>
  <dc:language>en-US</dc:language>
  <cp:lastModifiedBy>Ralph Coffman</cp:lastModifiedBy>
  <dcterms:modified xsi:type="dcterms:W3CDTF">2018-08-06T14:34:00Z</dcterms:modified>
  <cp:revision>2</cp:revision>
  <dc:subject/>
  <dc:title>DIS-Asia-Gandhara Buddha, Kushan Period, ca</dc:title>
</cp:coreProperties>
</file>