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A000-INDO-Borneo-Dayak-Ancestor-Mask-Wood-Early 20th c</w:t>
      </w:r>
    </w:p>
    <w:p>
      <w:pPr>
        <w:pStyle w:val="Heading1"/>
        <w:rPr/>
      </w:pPr>
      <w:r>
        <w:rPr/>
        <w:drawing>
          <wp:inline distT="0" distB="0" distL="0" distR="0">
            <wp:extent cx="1613535" cy="22364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353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84325" cy="225615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843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19250" cy="22701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2650" cy="26060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71675" cy="260540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68780" cy="260540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6878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1-6. INDO-Borneo-Dayak-Ancestor-Mask-Wood-Early 20th c</w:t>
      </w:r>
    </w:p>
    <w:p>
      <w:pPr>
        <w:pStyle w:val="Normal"/>
        <w:rPr/>
      </w:pPr>
      <w:r>
        <w:rPr>
          <w:rStyle w:val="StrongEmphasis"/>
        </w:rPr>
        <w:t>Case No.: 15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INDO-Borneo-Dayak-Ancestor-Mask-Wood-Early 20th c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/>
        <w:t>The Dayak believed that a shaman under possession of an ancestor could then be asked for advice as to the proper course of action in a world affair. This mask which is fully sculpted in the round depicts an ancestor albeit generically with his lips pursed when he is about to give a pronouncement</w:t>
      </w:r>
      <w:r>
        <w:rPr>
          <w:b/>
        </w:rPr>
        <w:t xml:space="preserve"> as an oracle.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ABSOLUTELY TOP MASK Inland BORNEO Dayak people Indonesia pre-1950's</w:t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8" w:tgtFrame="_blank">
        <w:r>
          <w:rPr>
            <w:rStyle w:val="StrongEmphasis"/>
            <w:color w:val="0000FF"/>
            <w:u w:val="single"/>
          </w:rPr>
          <w:t>new-guinea-art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9392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Mar 24,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Apr 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766560" cy="6766560"/>
            <wp:effectExtent l="0" t="0" r="0" b="0"/>
            <wp:docPr id="7" name="19182343905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182343905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" t="-1" r="-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1" w:tgtFrame="_blank">
        <w:r>
          <w:rPr>
            <w:rStyle w:val="InternetLink"/>
          </w:rPr>
          <w:t>ABSOLUTELY TOP MASK Inland BORNEO Dayak people Indonesia pre-1950's</w:t>
        </w:r>
      </w:hyperlink>
      <w:r>
        <w:rPr/>
        <w:t xml:space="preserve"> </w:t>
      </w:r>
    </w:p>
    <w:tbl>
      <w:tblPr>
        <w:tblW w:w="353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855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191823439053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$60.00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Ordertotalcostngbinding"/>
        </w:rPr>
        <w:t>$90.00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Thursday, Mar 17,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Thursday, Mar 17,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myworld.ebay.com/new-guinea-art" TargetMode="External"/><Relationship Id="rId9" Type="http://schemas.openxmlformats.org/officeDocument/2006/relationships/hyperlink" Target="http://feedback.ebay.com/ws/eBayISAPI.dll?ViewFeedback&amp;userid=new-guinea-art" TargetMode="External"/><Relationship Id="rId10" Type="http://schemas.openxmlformats.org/officeDocument/2006/relationships/image" Target="media/image7.jpeg"/><Relationship Id="rId11" Type="http://schemas.openxmlformats.org/officeDocument/2006/relationships/hyperlink" Target="http://www.ebay.com/itm/191823439053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2018-07-26T08:48:00Z</dcterms:created>
  <dc:creator>owner</dc:creator>
  <dc:description/>
  <cp:keywords/>
  <dc:language>en-US</dc:language>
  <cp:lastModifiedBy>Ralph Coffman</cp:lastModifiedBy>
  <dcterms:modified xsi:type="dcterms:W3CDTF">2018-07-26T08:48:00Z</dcterms:modified>
  <cp:revision>2</cp:revision>
  <dc:subject/>
  <dc:title>DIS-INDO-Borneo-Mask</dc:title>
</cp:coreProperties>
</file>