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DIS-MIN-US-NC-Fuchsite-green var. verdite</w:t>
      </w:r>
    </w:p>
    <w:p>
      <w:pPr>
        <w:pStyle w:val="Normal"/>
        <w:rPr/>
      </w:pPr>
      <w:r>
        <w:rPr/>
      </w:r>
    </w:p>
    <w:p>
      <w:pPr>
        <w:pStyle w:val="Normal"/>
        <w:rPr/>
      </w:pPr>
      <w:r>
        <w:rPr/>
        <w:t>Fuchsite is a green variety of muscovite mica and is named after Johann Nepomuk von Fuchs (15 May 1774 – 5 March 1856), a German chemist and mineralogist. It differs from most other muscovites by having a variable amount of trivalent chromium substituting for aluminum within the mineral. Chromium is the source of fuchsite’s green color. Muscovite begins to take on a very light green color with the substitution of a small amount of chromium for aluminum. As the amount of chromium increases, the green color becomes stronger and ranges to a rich emerald green when abundant chromium is present. In most instances fuchsite occurs as tiny grains scattered through the rock mass, but occasionally rocks composed almost entirely of fuchsite are found. These green fuchsite-rich rocks are known as “verdite.”</w:t>
      </w:r>
    </w:p>
    <w:p>
      <w:pPr>
        <w:pStyle w:val="Normal"/>
        <w:rPr/>
      </w:pPr>
      <w:r>
        <w:rPr/>
      </w:r>
    </w:p>
    <w:p>
      <w:pPr>
        <w:pStyle w:val="Normal"/>
        <w:rPr/>
      </w:pPr>
      <w:r>
        <w:rPr/>
        <w:t>Chemical formula of muscovite: KAl</w:t>
      </w:r>
      <w:r>
        <w:rPr>
          <w:vertAlign w:val="subscript"/>
        </w:rPr>
        <w:t>2</w:t>
      </w:r>
      <w:r>
        <w:rPr/>
        <w:t>(Si</w:t>
      </w:r>
      <w:r>
        <w:rPr>
          <w:vertAlign w:val="subscript"/>
        </w:rPr>
        <w:t>3</w:t>
      </w:r>
      <w:r>
        <w:rPr/>
        <w:t>AlO</w:t>
      </w:r>
      <w:r>
        <w:rPr>
          <w:vertAlign w:val="subscript"/>
        </w:rPr>
        <w:t>10</w:t>
      </w:r>
      <w:r>
        <w:rPr/>
        <w:t>)(OH)</w:t>
      </w:r>
      <w:r>
        <w:rPr>
          <w:vertAlign w:val="subscript"/>
        </w:rPr>
        <w:t>2</w:t>
      </w:r>
    </w:p>
    <w:p>
      <w:pPr>
        <w:pStyle w:val="Normal"/>
        <w:rPr/>
      </w:pPr>
      <w:r>
        <w:rPr/>
      </w:r>
    </w:p>
    <w:p>
      <w:pPr>
        <w:pStyle w:val="Normal"/>
        <w:rPr/>
      </w:pPr>
      <w:r>
        <w:rPr/>
        <w:t>Chemical formula of fuchsite: K(Al,Cr)</w:t>
      </w:r>
      <w:r>
        <w:rPr>
          <w:vertAlign w:val="subscript"/>
        </w:rPr>
        <w:t>2</w:t>
      </w:r>
      <w:r>
        <w:rPr/>
        <w:t>(Si</w:t>
      </w:r>
      <w:r>
        <w:rPr>
          <w:vertAlign w:val="subscript"/>
        </w:rPr>
        <w:t>3</w:t>
      </w:r>
      <w:r>
        <w:rPr/>
        <w:t>AlO</w:t>
      </w:r>
      <w:r>
        <w:rPr>
          <w:vertAlign w:val="subscript"/>
        </w:rPr>
        <w:t>10</w:t>
      </w:r>
      <w:r>
        <w:rPr/>
        <w:t>)(OH)</w:t>
      </w:r>
      <w:r>
        <w:rPr>
          <w:vertAlign w:val="subscript"/>
        </w:rPr>
        <w:t>2</w:t>
      </w:r>
    </w:p>
    <w:p>
      <w:pPr>
        <w:pStyle w:val="Normal"/>
        <w:rPr/>
      </w:pPr>
      <w:r>
        <w:rPr/>
      </w:r>
    </w:p>
    <w:p>
      <w:pPr>
        <w:pStyle w:val="Normal"/>
        <w:rPr/>
      </w:pPr>
      <w:r>
        <w:rPr/>
        <w:t>Chemical formula of verdite: K(Cr)</w:t>
      </w:r>
      <w:r>
        <w:rPr>
          <w:vertAlign w:val="subscript"/>
        </w:rPr>
        <w:t>2</w:t>
      </w:r>
      <w:r>
        <w:rPr/>
        <w:t>(Si</w:t>
      </w:r>
      <w:r>
        <w:rPr>
          <w:vertAlign w:val="subscript"/>
        </w:rPr>
        <w:t>3</w:t>
      </w:r>
      <w:r>
        <w:rPr/>
        <w:t>AlO</w:t>
      </w:r>
      <w:r>
        <w:rPr>
          <w:vertAlign w:val="subscript"/>
        </w:rPr>
        <w:t>10</w:t>
      </w:r>
      <w:r>
        <w:rPr/>
        <w:t>)(OH)</w:t>
      </w:r>
      <w:r>
        <w:rPr>
          <w:vertAlign w:val="subscript"/>
        </w:rPr>
        <w:t>2</w:t>
      </w:r>
    </w:p>
    <w:p>
      <w:pPr>
        <w:pStyle w:val="Normal"/>
        <w:rPr/>
      </w:pPr>
      <w:r>
        <w:rPr/>
      </w:r>
    </w:p>
    <w:p>
      <w:pPr>
        <w:pStyle w:val="Normal"/>
        <w:rPr/>
      </w:pPr>
      <w:r>
        <w:rPr/>
        <w:t xml:space="preserve">Fuchsite is found in phyllites (metamorphosed, very fine-grained mica. ) and schists (foliated metamorphic rock made up of plate-shaped mineral grains) in metamorphic rocks of the green schist facies. </w:t>
      </w:r>
    </w:p>
    <w:tbl>
      <w:tblPr>
        <w:tblW w:w="10434" w:type="dxa"/>
        <w:jc w:val="start"/>
        <w:tblInd w:w="-105" w:type="dxa"/>
        <w:tblBorders/>
        <w:tblCellMar>
          <w:top w:w="60" w:type="dxa"/>
          <w:start w:w="60" w:type="dxa"/>
          <w:bottom w:w="60" w:type="dxa"/>
          <w:end w:w="60" w:type="dxa"/>
        </w:tblCellMar>
      </w:tblPr>
      <w:tblGrid>
        <w:gridCol w:w="1874"/>
        <w:gridCol w:w="8560"/>
      </w:tblGrid>
      <w:tr>
        <w:trPr/>
        <w:tc>
          <w:tcPr>
            <w:tcW w:w="10434" w:type="dxa"/>
            <w:gridSpan w:val="2"/>
            <w:tcBorders/>
            <w:shd w:fill="010000" w:val="clear"/>
            <w:vAlign w:val="center"/>
          </w:tcPr>
          <w:p>
            <w:pPr>
              <w:pStyle w:val="Heading4"/>
              <w:spacing w:before="280" w:after="0"/>
              <w:jc w:val="center"/>
              <w:rPr/>
            </w:pPr>
            <w:r>
              <w:rPr/>
              <w:t>Physical Properties of Fuchsite</w:t>
            </w:r>
          </w:p>
        </w:tc>
      </w:tr>
      <w:tr>
        <w:trPr/>
        <w:tc>
          <w:tcPr>
            <w:tcW w:w="1874" w:type="dxa"/>
            <w:tcBorders/>
            <w:shd w:fill="010000" w:val="clear"/>
            <w:vAlign w:val="center"/>
          </w:tcPr>
          <w:p>
            <w:pPr>
              <w:pStyle w:val="Normal"/>
              <w:rPr>
                <w:b/>
                <w:b/>
                <w:bCs/>
              </w:rPr>
            </w:pPr>
            <w:r>
              <w:rPr>
                <w:b/>
                <w:bCs/>
              </w:rPr>
              <w:t>Chemical Classification</w:t>
            </w:r>
          </w:p>
        </w:tc>
        <w:tc>
          <w:tcPr>
            <w:tcW w:w="8560" w:type="dxa"/>
            <w:tcBorders/>
            <w:shd w:fill="auto" w:val="clear"/>
            <w:vAlign w:val="center"/>
          </w:tcPr>
          <w:p>
            <w:pPr>
              <w:pStyle w:val="Normal"/>
              <w:jc w:val="center"/>
              <w:rPr/>
            </w:pPr>
            <w:r>
              <w:rPr/>
              <w:t>Silicate</w:t>
            </w:r>
          </w:p>
        </w:tc>
      </w:tr>
      <w:tr>
        <w:trPr/>
        <w:tc>
          <w:tcPr>
            <w:tcW w:w="1874" w:type="dxa"/>
            <w:tcBorders/>
            <w:shd w:fill="010000" w:val="clear"/>
            <w:vAlign w:val="center"/>
          </w:tcPr>
          <w:p>
            <w:pPr>
              <w:pStyle w:val="Normal"/>
              <w:rPr>
                <w:b/>
                <w:b/>
                <w:bCs/>
              </w:rPr>
            </w:pPr>
            <w:r>
              <w:rPr>
                <w:b/>
                <w:bCs/>
              </w:rPr>
              <w:t>Color</w:t>
            </w:r>
          </w:p>
        </w:tc>
        <w:tc>
          <w:tcPr>
            <w:tcW w:w="8560" w:type="dxa"/>
            <w:tcBorders/>
            <w:shd w:fill="auto" w:val="clear"/>
            <w:vAlign w:val="center"/>
          </w:tcPr>
          <w:p>
            <w:pPr>
              <w:pStyle w:val="Normal"/>
              <w:jc w:val="center"/>
              <w:rPr/>
            </w:pPr>
            <w:r>
              <w:rPr/>
              <w:t>Light green to emerald green depending upon chromium content</w:t>
            </w:r>
          </w:p>
        </w:tc>
      </w:tr>
      <w:tr>
        <w:trPr/>
        <w:tc>
          <w:tcPr>
            <w:tcW w:w="1874" w:type="dxa"/>
            <w:tcBorders/>
            <w:shd w:fill="010000" w:val="clear"/>
            <w:vAlign w:val="center"/>
          </w:tcPr>
          <w:p>
            <w:pPr>
              <w:pStyle w:val="Normal"/>
              <w:rPr>
                <w:b/>
                <w:b/>
                <w:bCs/>
              </w:rPr>
            </w:pPr>
            <w:r>
              <w:rPr>
                <w:b/>
                <w:bCs/>
              </w:rPr>
              <w:t>Streak</w:t>
            </w:r>
          </w:p>
        </w:tc>
        <w:tc>
          <w:tcPr>
            <w:tcW w:w="8560" w:type="dxa"/>
            <w:tcBorders/>
            <w:shd w:fill="auto" w:val="clear"/>
            <w:vAlign w:val="center"/>
          </w:tcPr>
          <w:p>
            <w:pPr>
              <w:pStyle w:val="Normal"/>
              <w:jc w:val="center"/>
              <w:rPr/>
            </w:pPr>
            <w:r>
              <w:rPr/>
              <w:t>White, often sheds tiny green flakes</w:t>
            </w:r>
          </w:p>
        </w:tc>
      </w:tr>
      <w:tr>
        <w:trPr/>
        <w:tc>
          <w:tcPr>
            <w:tcW w:w="1874" w:type="dxa"/>
            <w:tcBorders/>
            <w:shd w:fill="010000" w:val="clear"/>
            <w:vAlign w:val="center"/>
          </w:tcPr>
          <w:p>
            <w:pPr>
              <w:pStyle w:val="Normal"/>
              <w:rPr>
                <w:b/>
                <w:b/>
                <w:bCs/>
              </w:rPr>
            </w:pPr>
            <w:r>
              <w:rPr>
                <w:b/>
                <w:bCs/>
              </w:rPr>
              <w:t>Luster</w:t>
            </w:r>
          </w:p>
        </w:tc>
        <w:tc>
          <w:tcPr>
            <w:tcW w:w="8560" w:type="dxa"/>
            <w:tcBorders/>
            <w:shd w:fill="auto" w:val="clear"/>
            <w:vAlign w:val="center"/>
          </w:tcPr>
          <w:p>
            <w:pPr>
              <w:pStyle w:val="Normal"/>
              <w:jc w:val="center"/>
              <w:rPr/>
            </w:pPr>
            <w:r>
              <w:rPr/>
              <w:t>Pearly to vitreous</w:t>
            </w:r>
          </w:p>
        </w:tc>
      </w:tr>
      <w:tr>
        <w:trPr/>
        <w:tc>
          <w:tcPr>
            <w:tcW w:w="1874" w:type="dxa"/>
            <w:tcBorders/>
            <w:shd w:fill="010000" w:val="clear"/>
            <w:vAlign w:val="center"/>
          </w:tcPr>
          <w:p>
            <w:pPr>
              <w:pStyle w:val="Normal"/>
              <w:rPr>
                <w:b/>
                <w:b/>
                <w:bCs/>
              </w:rPr>
            </w:pPr>
            <w:r>
              <w:rPr>
                <w:b/>
                <w:bCs/>
              </w:rPr>
              <w:t>Diaphaneity</w:t>
            </w:r>
          </w:p>
        </w:tc>
        <w:tc>
          <w:tcPr>
            <w:tcW w:w="8560" w:type="dxa"/>
            <w:tcBorders/>
            <w:shd w:fill="auto" w:val="clear"/>
            <w:vAlign w:val="center"/>
          </w:tcPr>
          <w:p>
            <w:pPr>
              <w:pStyle w:val="Normal"/>
              <w:jc w:val="center"/>
              <w:rPr/>
            </w:pPr>
            <w:r>
              <w:rPr/>
              <w:t>Transparent to translucent</w:t>
            </w:r>
          </w:p>
        </w:tc>
      </w:tr>
      <w:tr>
        <w:trPr/>
        <w:tc>
          <w:tcPr>
            <w:tcW w:w="1874" w:type="dxa"/>
            <w:tcBorders/>
            <w:shd w:fill="010000" w:val="clear"/>
            <w:vAlign w:val="center"/>
          </w:tcPr>
          <w:p>
            <w:pPr>
              <w:pStyle w:val="Normal"/>
              <w:rPr>
                <w:b/>
                <w:b/>
                <w:bCs/>
              </w:rPr>
            </w:pPr>
            <w:r>
              <w:rPr>
                <w:b/>
                <w:bCs/>
              </w:rPr>
              <w:t>Cleavage</w:t>
            </w:r>
          </w:p>
        </w:tc>
        <w:tc>
          <w:tcPr>
            <w:tcW w:w="8560" w:type="dxa"/>
            <w:tcBorders/>
            <w:shd w:fill="auto" w:val="clear"/>
            <w:vAlign w:val="center"/>
          </w:tcPr>
          <w:p>
            <w:pPr>
              <w:pStyle w:val="Normal"/>
              <w:jc w:val="center"/>
              <w:rPr/>
            </w:pPr>
            <w:r>
              <w:rPr/>
              <w:t>Perfect</w:t>
            </w:r>
          </w:p>
        </w:tc>
      </w:tr>
      <w:tr>
        <w:trPr/>
        <w:tc>
          <w:tcPr>
            <w:tcW w:w="1874" w:type="dxa"/>
            <w:tcBorders/>
            <w:shd w:fill="010000" w:val="clear"/>
            <w:vAlign w:val="center"/>
          </w:tcPr>
          <w:p>
            <w:pPr>
              <w:pStyle w:val="Normal"/>
              <w:rPr>
                <w:b/>
                <w:b/>
                <w:bCs/>
              </w:rPr>
            </w:pPr>
            <w:r>
              <w:rPr>
                <w:b/>
                <w:bCs/>
              </w:rPr>
              <w:t>Mohs Hardness</w:t>
            </w:r>
          </w:p>
        </w:tc>
        <w:tc>
          <w:tcPr>
            <w:tcW w:w="8560" w:type="dxa"/>
            <w:tcBorders/>
            <w:shd w:fill="auto" w:val="clear"/>
            <w:vAlign w:val="center"/>
          </w:tcPr>
          <w:p>
            <w:pPr>
              <w:pStyle w:val="Normal"/>
              <w:jc w:val="center"/>
              <w:rPr/>
            </w:pPr>
            <w:r>
              <w:rPr/>
              <w:t>2 to 3</w:t>
            </w:r>
          </w:p>
        </w:tc>
      </w:tr>
      <w:tr>
        <w:trPr/>
        <w:tc>
          <w:tcPr>
            <w:tcW w:w="1874" w:type="dxa"/>
            <w:tcBorders/>
            <w:shd w:fill="010000" w:val="clear"/>
            <w:vAlign w:val="center"/>
          </w:tcPr>
          <w:p>
            <w:pPr>
              <w:pStyle w:val="Normal"/>
              <w:rPr>
                <w:b/>
                <w:b/>
                <w:bCs/>
              </w:rPr>
            </w:pPr>
            <w:r>
              <w:rPr>
                <w:b/>
                <w:bCs/>
              </w:rPr>
              <w:t>Specific Gravity</w:t>
            </w:r>
          </w:p>
        </w:tc>
        <w:tc>
          <w:tcPr>
            <w:tcW w:w="8560" w:type="dxa"/>
            <w:tcBorders/>
            <w:shd w:fill="auto" w:val="clear"/>
            <w:vAlign w:val="center"/>
          </w:tcPr>
          <w:p>
            <w:pPr>
              <w:pStyle w:val="Normal"/>
              <w:jc w:val="center"/>
              <w:rPr/>
            </w:pPr>
            <w:r>
              <w:rPr/>
              <w:t>2.8 to 2.9</w:t>
            </w:r>
          </w:p>
        </w:tc>
      </w:tr>
      <w:tr>
        <w:trPr/>
        <w:tc>
          <w:tcPr>
            <w:tcW w:w="1874" w:type="dxa"/>
            <w:tcBorders/>
            <w:shd w:fill="010000" w:val="clear"/>
            <w:vAlign w:val="center"/>
          </w:tcPr>
          <w:p>
            <w:pPr>
              <w:pStyle w:val="Normal"/>
              <w:rPr>
                <w:b/>
                <w:b/>
                <w:bCs/>
              </w:rPr>
            </w:pPr>
            <w:r>
              <w:rPr>
                <w:b/>
                <w:bCs/>
              </w:rPr>
              <w:t>Diagnostic Properties</w:t>
            </w:r>
          </w:p>
        </w:tc>
        <w:tc>
          <w:tcPr>
            <w:tcW w:w="8560" w:type="dxa"/>
            <w:tcBorders/>
            <w:shd w:fill="auto" w:val="clear"/>
            <w:vAlign w:val="center"/>
          </w:tcPr>
          <w:p>
            <w:pPr>
              <w:pStyle w:val="Normal"/>
              <w:jc w:val="center"/>
              <w:rPr/>
            </w:pPr>
            <w:r>
              <w:rPr/>
              <w:t>Cleavage, color, transparency</w:t>
            </w:r>
          </w:p>
        </w:tc>
      </w:tr>
      <w:tr>
        <w:trPr/>
        <w:tc>
          <w:tcPr>
            <w:tcW w:w="1874" w:type="dxa"/>
            <w:tcBorders/>
            <w:shd w:fill="010000" w:val="clear"/>
            <w:vAlign w:val="center"/>
          </w:tcPr>
          <w:p>
            <w:pPr>
              <w:pStyle w:val="Normal"/>
              <w:rPr>
                <w:b/>
                <w:b/>
                <w:bCs/>
              </w:rPr>
            </w:pPr>
            <w:r>
              <w:rPr>
                <w:b/>
                <w:bCs/>
              </w:rPr>
              <w:t>Chemical Composition</w:t>
            </w:r>
          </w:p>
        </w:tc>
        <w:tc>
          <w:tcPr>
            <w:tcW w:w="8560" w:type="dxa"/>
            <w:tcBorders/>
            <w:shd w:fill="auto" w:val="clear"/>
            <w:vAlign w:val="center"/>
          </w:tcPr>
          <w:p>
            <w:pPr>
              <w:pStyle w:val="Normal"/>
              <w:jc w:val="center"/>
              <w:rPr/>
            </w:pPr>
            <w:r>
              <w:rPr/>
              <w:t>K(Al,Cr)</w:t>
            </w:r>
            <w:r>
              <w:rPr>
                <w:vertAlign w:val="subscript"/>
              </w:rPr>
              <w:t>2</w:t>
            </w:r>
            <w:r>
              <w:rPr/>
              <w:t>(Si</w:t>
            </w:r>
            <w:r>
              <w:rPr>
                <w:vertAlign w:val="subscript"/>
              </w:rPr>
              <w:t>3</w:t>
            </w:r>
            <w:r>
              <w:rPr/>
              <w:t>AlO</w:t>
            </w:r>
            <w:r>
              <w:rPr>
                <w:vertAlign w:val="subscript"/>
              </w:rPr>
              <w:t>10</w:t>
            </w:r>
            <w:r>
              <w:rPr/>
              <w:t>)(OH)</w:t>
            </w:r>
            <w:r>
              <w:rPr>
                <w:vertAlign w:val="subscript"/>
              </w:rPr>
              <w:t>2</w:t>
            </w:r>
          </w:p>
        </w:tc>
      </w:tr>
      <w:tr>
        <w:trPr/>
        <w:tc>
          <w:tcPr>
            <w:tcW w:w="1874" w:type="dxa"/>
            <w:tcBorders/>
            <w:shd w:fill="010000" w:val="clear"/>
            <w:vAlign w:val="center"/>
          </w:tcPr>
          <w:p>
            <w:pPr>
              <w:pStyle w:val="Normal"/>
              <w:rPr>
                <w:b/>
                <w:b/>
                <w:bCs/>
              </w:rPr>
            </w:pPr>
            <w:r>
              <w:rPr>
                <w:b/>
                <w:bCs/>
              </w:rPr>
              <w:t>Crystal System</w:t>
            </w:r>
          </w:p>
        </w:tc>
        <w:tc>
          <w:tcPr>
            <w:tcW w:w="8560" w:type="dxa"/>
            <w:tcBorders/>
            <w:shd w:fill="auto" w:val="clear"/>
            <w:vAlign w:val="center"/>
          </w:tcPr>
          <w:p>
            <w:pPr>
              <w:pStyle w:val="Normal"/>
              <w:jc w:val="center"/>
              <w:rPr/>
            </w:pPr>
            <w:r>
              <w:rPr/>
              <w:t>Monoclinic</w:t>
            </w:r>
          </w:p>
        </w:tc>
      </w:tr>
      <w:tr>
        <w:trPr>
          <w:trHeight w:val="1035" w:hRule="atLeast"/>
        </w:trPr>
        <w:tc>
          <w:tcPr>
            <w:tcW w:w="1874" w:type="dxa"/>
            <w:tcBorders/>
            <w:shd w:fill="010000" w:val="clear"/>
            <w:vAlign w:val="center"/>
          </w:tcPr>
          <w:p>
            <w:pPr>
              <w:pStyle w:val="Normal"/>
              <w:rPr>
                <w:b/>
                <w:b/>
                <w:bCs/>
              </w:rPr>
            </w:pPr>
            <w:r>
              <w:rPr>
                <w:b/>
                <w:bCs/>
              </w:rPr>
              <w:t>Uses</w:t>
            </w:r>
          </w:p>
        </w:tc>
        <w:tc>
          <w:tcPr>
            <w:tcW w:w="8560" w:type="dxa"/>
            <w:tcBorders/>
            <w:shd w:fill="auto" w:val="clear"/>
            <w:vAlign w:val="center"/>
          </w:tcPr>
          <w:p>
            <w:pPr>
              <w:pStyle w:val="Normal"/>
              <w:jc w:val="center"/>
              <w:rPr/>
            </w:pPr>
            <w:r>
              <w:rPr/>
              <w:t>Fuchsite of good purity is not abundant enough to support manufactured products. The primary use is as a gem material, especially ruby in fuchsite for cabochons, spheres, and small utility objects that will not be subjected to impact or wear.</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2016-11-01T10:05:00Z</dcterms:created>
  <dc:creator>owner</dc:creator>
  <dc:description/>
  <dc:language>en-US</dc:language>
  <cp:lastModifiedBy>owner</cp:lastModifiedBy>
  <dcterms:modified xsi:type="dcterms:W3CDTF">2016-11-01T10:42:00Z</dcterms:modified>
  <cp:revision>2</cp:revision>
  <dc:subject/>
  <dc:title>DIS-MIN-US-NC-Fuchsite-green var</dc:title>
</cp:coreProperties>
</file>