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063" w:leader="none"/>
        </w:tabs>
        <w:rPr/>
      </w:pPr>
      <w:r>
        <w:rPr/>
        <w:t>MIN-Franklin-NJ-</w:t>
      </w:r>
      <w:r>
        <w:rPr>
          <w:rFonts w:cs="Arial" w:ascii="Arial" w:hAnsi="Arial"/>
          <w:color w:val="000000"/>
          <w:sz w:val="36"/>
          <w:szCs w:val="36"/>
        </w:rPr>
        <w:t xml:space="preserve"> Pectolite and Prehnite on Matrix</w:t>
        <w:br/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  <w:t>Name:  Pectolite and Prehnite on Matrix</w:t>
        <w:br/>
        <w:t>Weight: approximately 1130 carats</w:t>
        <w:br/>
        <w:t>Dimensions:  approximately 4" x 1.5" x 3"</w:t>
        <w:br/>
        <w:t>Location:  Lower New Street Quarry, Paterson, New Jersey</w:t>
        <w:br/>
        <w:t>Additional Minerals:  Unknown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rPr/>
      </w:pPr>
      <w:r>
        <w:rPr/>
        <w:drawing>
          <wp:inline distT="0" distB="0" distL="0" distR="0">
            <wp:extent cx="4825365" cy="3704590"/>
            <wp:effectExtent l="0" t="0" r="0" b="0"/>
            <wp:docPr id="1" name="s-l160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-l160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hd w:fill="F8F8F8" w:val="clear"/>
        <w:spacing w:lineRule="atLeast" w:line="468" w:before="0" w:after="120"/>
        <w:ind w:start="-206" w:end="-206" w:hanging="0"/>
        <w:rPr/>
      </w:pPr>
      <w:r>
        <w:rPr/>
        <w:drawing>
          <wp:inline distT="0" distB="0" distL="0" distR="0">
            <wp:extent cx="5880735" cy="4418965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50415" cy="1506855"/>
            <wp:effectExtent l="0" t="0" r="0" b="0"/>
            <wp:docPr id="3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897880" cy="4421505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hd w:fill="F8F8F8" w:val="clear"/>
        <w:spacing w:lineRule="atLeast" w:line="468" w:before="0" w:after="120"/>
        <w:ind w:start="-206" w:end="-206" w:hanging="0"/>
        <w:rPr>
          <w:rFonts w:ascii="Helvetica" w:hAnsi="Helvetica" w:cs="Helvetica"/>
          <w:b w:val="false"/>
          <w:b w:val="false"/>
          <w:bCs w:val="false"/>
          <w:color w:val="333333"/>
          <w:sz w:val="20"/>
          <w:szCs w:val="20"/>
        </w:rPr>
      </w:pPr>
      <w:r>
        <w:rPr>
          <w:rFonts w:cs="Helvetica" w:ascii="Helvetica" w:hAnsi="Helvetica"/>
          <w:b w:val="false"/>
          <w:bCs w:val="false"/>
          <w:color w:val="333333"/>
          <w:sz w:val="20"/>
          <w:szCs w:val="20"/>
        </w:rPr>
        <w:t>Order details</w:t>
      </w:r>
    </w:p>
    <w:p>
      <w:pPr>
        <w:pStyle w:val="Normal"/>
        <w:shd w:fill="F8F8F8" w:val="clear"/>
        <w:spacing w:lineRule="atLeast" w:line="96"/>
        <w:ind w:start="-206" w:end="-206" w:hanging="0"/>
        <w:jc w:val="end"/>
        <w:rPr/>
      </w:pPr>
      <w:r>
        <w:rPr>
          <w:rStyle w:val="Ngbinding"/>
          <w:rFonts w:cs="Helvetica" w:ascii="Helvetica" w:hAnsi="Helvetica"/>
          <w:color w:val="333333"/>
          <w:sz w:val="10"/>
          <w:szCs w:val="10"/>
        </w:rPr>
        <w:t>←</w:t>
      </w:r>
      <w:r>
        <w:rPr>
          <w:rStyle w:val="Ngbinding"/>
          <w:rFonts w:eastAsia="Helvetica" w:cs="Helvetica" w:ascii="Helvetica" w:hAnsi="Helvetica"/>
          <w:color w:val="333333"/>
          <w:sz w:val="10"/>
          <w:szCs w:val="10"/>
        </w:rPr>
        <w:t xml:space="preserve"> </w:t>
      </w:r>
      <w:r>
        <w:rPr>
          <w:rStyle w:val="Ngbinding"/>
          <w:rFonts w:cs="Helvetica" w:ascii="Helvetica" w:hAnsi="Helvetica"/>
          <w:color w:val="333333"/>
          <w:sz w:val="10"/>
          <w:szCs w:val="10"/>
        </w:rPr>
        <w:t>Back to order details</w:t>
      </w:r>
    </w:p>
    <w:tbl>
      <w:tblPr>
        <w:tblW w:w="8061" w:type="dxa"/>
        <w:jc w:val="start"/>
        <w:tblInd w:w="-55" w:type="dxa"/>
        <w:tblBorders>
          <w:top w:val="single" w:sz="2" w:space="0" w:color="C0C0C0"/>
        </w:tblBorders>
        <w:tblCellMar>
          <w:top w:w="55" w:type="dxa"/>
          <w:start w:w="55" w:type="dxa"/>
          <w:bottom w:w="55" w:type="dxa"/>
          <w:end w:w="55" w:type="dxa"/>
        </w:tblCellMar>
      </w:tblPr>
      <w:tblGrid>
        <w:gridCol w:w="2697"/>
        <w:gridCol w:w="2007"/>
        <w:gridCol w:w="3357"/>
      </w:tblGrid>
      <w:tr>
        <w:trPr/>
        <w:tc>
          <w:tcPr>
            <w:tcW w:w="2697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Heading2"/>
              <w:spacing w:before="0" w:after="0"/>
              <w:rPr>
                <w:rFonts w:ascii="Helvetica" w:hAnsi="Helvetica" w:cs="Helvetica"/>
                <w:b w:val="false"/>
                <w:b w:val="false"/>
                <w:bCs w:val="false"/>
                <w:sz w:val="17"/>
                <w:szCs w:val="17"/>
              </w:rPr>
            </w:pPr>
            <w:r>
              <w:rPr>
                <w:rFonts w:cs="Helvetica" w:ascii="Helvetica" w:hAnsi="Helvetica"/>
                <w:b w:val="false"/>
                <w:bCs w:val="false"/>
                <w:sz w:val="17"/>
                <w:szCs w:val="17"/>
              </w:rPr>
              <w:t>Order information</w:t>
            </w:r>
          </w:p>
          <w:p>
            <w:pPr>
              <w:pStyle w:val="Normal"/>
              <w:rPr>
                <w:rFonts w:ascii="Helvetica" w:hAnsi="Helvetica" w:cs="Helvetica"/>
                <w:b/>
                <w:b/>
                <w:bCs/>
                <w:sz w:val="10"/>
                <w:szCs w:val="10"/>
              </w:rPr>
            </w:pPr>
            <w:r>
              <w:rPr>
                <w:rFonts w:cs="Helvetica" w:ascii="Helvetica" w:hAnsi="Helvetica"/>
                <w:b/>
                <w:bCs/>
                <w:sz w:val="10"/>
                <w:szCs w:val="10"/>
              </w:rPr>
            </w:r>
          </w:p>
          <w:tbl>
            <w:tblPr>
              <w:tblW w:w="1770" w:type="dxa"/>
              <w:jc w:val="start"/>
              <w:tblInd w:w="0" w:type="dxa"/>
              <w:tblBorders>
                <w:top w:val="single" w:sz="2" w:space="0" w:color="FFFFFF"/>
              </w:tblBorders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835"/>
              <w:gridCol w:w="935"/>
            </w:tblGrid>
            <w:tr>
              <w:trPr/>
              <w:tc>
                <w:tcPr>
                  <w:tcW w:w="835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Order placed on</w:t>
                  </w:r>
                </w:p>
              </w:tc>
              <w:tc>
                <w:tcPr>
                  <w:tcW w:w="935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rStyle w:val="Ngbindingngscope"/>
                      <w:sz w:val="10"/>
                      <w:szCs w:val="10"/>
                    </w:rPr>
                    <w:t>Monday, Jul 4, 2016</w:t>
                  </w:r>
                </w:p>
              </w:tc>
            </w:tr>
            <w:tr>
              <w:trPr/>
              <w:tc>
                <w:tcPr>
                  <w:tcW w:w="835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Payment method</w:t>
                  </w:r>
                </w:p>
              </w:tc>
              <w:tc>
                <w:tcPr>
                  <w:tcW w:w="935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PayPal</w:t>
                  </w:r>
                </w:p>
              </w:tc>
            </w:tr>
            <w:tr>
              <w:trPr/>
              <w:tc>
                <w:tcPr>
                  <w:tcW w:w="835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/>
                  </w:pPr>
                  <w:r>
                    <w:rPr>
                      <w:b/>
                      <w:bCs/>
                      <w:sz w:val="10"/>
                      <w:szCs w:val="10"/>
                    </w:rPr>
                    <w:t>Payment date</w:t>
                  </w:r>
                </w:p>
              </w:tc>
              <w:tc>
                <w:tcPr>
                  <w:tcW w:w="935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rStyle w:val="Ngbindingngscope"/>
                      <w:sz w:val="10"/>
                      <w:szCs w:val="10"/>
                    </w:rPr>
                    <w:t>Monday, Jul 4, 2016</w:t>
                  </w:r>
                </w:p>
              </w:tc>
            </w:tr>
          </w:tbl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07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Heading2"/>
              <w:spacing w:before="0" w:after="0"/>
              <w:rPr>
                <w:rFonts w:ascii="Helvetica" w:hAnsi="Helvetica" w:cs="Helvetica"/>
                <w:b w:val="false"/>
                <w:b w:val="false"/>
                <w:bCs w:val="false"/>
                <w:sz w:val="17"/>
                <w:szCs w:val="17"/>
              </w:rPr>
            </w:pPr>
            <w:r>
              <w:rPr>
                <w:rFonts w:cs="Helvetica" w:ascii="Helvetica" w:hAnsi="Helvetica"/>
                <w:b w:val="false"/>
                <w:bCs w:val="false"/>
                <w:sz w:val="17"/>
                <w:szCs w:val="17"/>
              </w:rPr>
              <w:t>Shipping address</w:t>
            </w:r>
          </w:p>
          <w:p>
            <w:pPr>
              <w:pStyle w:val="Normal"/>
              <w:rPr>
                <w:rFonts w:ascii="Helvetica" w:hAnsi="Helvetica" w:cs="Helvetica"/>
                <w:b/>
                <w:b/>
                <w:bCs/>
                <w:sz w:val="10"/>
                <w:szCs w:val="10"/>
              </w:rPr>
            </w:pPr>
            <w:r>
              <w:rPr>
                <w:rFonts w:cs="Helvetica" w:ascii="Helvetica" w:hAnsi="Helvetica"/>
                <w:b/>
                <w:bCs/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rStyle w:val="StrongEmphasis"/>
                <w:sz w:val="10"/>
                <w:szCs w:val="10"/>
              </w:rPr>
              <w:t>Ralph J Coffman Jr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149 Atlantic Ave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Swampscott MA 01907-2427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United States</w:t>
            </w:r>
          </w:p>
        </w:tc>
        <w:tc>
          <w:tcPr>
            <w:tcW w:w="3357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Heading2"/>
              <w:spacing w:before="0" w:after="0"/>
              <w:rPr>
                <w:rFonts w:ascii="Helvetica" w:hAnsi="Helvetica" w:cs="Helvetica"/>
                <w:b w:val="false"/>
                <w:b w:val="false"/>
                <w:bCs w:val="false"/>
                <w:sz w:val="17"/>
                <w:szCs w:val="17"/>
              </w:rPr>
            </w:pPr>
            <w:r>
              <w:rPr>
                <w:rFonts w:cs="Helvetica" w:ascii="Helvetica" w:hAnsi="Helvetica"/>
                <w:b w:val="false"/>
                <w:bCs w:val="false"/>
                <w:sz w:val="17"/>
                <w:szCs w:val="17"/>
              </w:rPr>
              <w:t>Order total</w:t>
            </w:r>
          </w:p>
          <w:p>
            <w:pPr>
              <w:pStyle w:val="Normal"/>
              <w:rPr>
                <w:rFonts w:ascii="Helvetica" w:hAnsi="Helvetica" w:cs="Helvetica"/>
                <w:b/>
                <w:b/>
                <w:bCs/>
                <w:sz w:val="10"/>
                <w:szCs w:val="10"/>
              </w:rPr>
            </w:pPr>
            <w:r>
              <w:rPr>
                <w:rFonts w:cs="Helvetica" w:ascii="Helvetica" w:hAnsi="Helvetica"/>
                <w:b/>
                <w:bCs/>
                <w:sz w:val="10"/>
                <w:szCs w:val="10"/>
              </w:rPr>
            </w:r>
          </w:p>
          <w:tbl>
            <w:tblPr>
              <w:tblW w:w="1688" w:type="dxa"/>
              <w:jc w:val="start"/>
              <w:tblInd w:w="0" w:type="dxa"/>
              <w:tblBorders>
                <w:top w:val="single" w:sz="2" w:space="0" w:color="FFFFFF"/>
              </w:tblBorders>
              <w:tblCellMar>
                <w:top w:w="34" w:type="dxa"/>
                <w:start w:w="34" w:type="dxa"/>
                <w:bottom w:w="34" w:type="dxa"/>
                <w:end w:w="34" w:type="dxa"/>
              </w:tblCellMar>
            </w:tblPr>
            <w:tblGrid>
              <w:gridCol w:w="960"/>
              <w:gridCol w:w="728"/>
            </w:tblGrid>
            <w:tr>
              <w:trPr/>
              <w:tc>
                <w:tcPr>
                  <w:tcW w:w="960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Subtotal</w:t>
                  </w:r>
                </w:p>
              </w:tc>
              <w:tc>
                <w:tcPr>
                  <w:tcW w:w="728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jc w:val="end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$34.99</w:t>
                  </w:r>
                </w:p>
              </w:tc>
            </w:tr>
            <w:tr>
              <w:trPr/>
              <w:tc>
                <w:tcPr>
                  <w:tcW w:w="960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Shipping</w:t>
                  </w:r>
                </w:p>
              </w:tc>
              <w:tc>
                <w:tcPr>
                  <w:tcW w:w="728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jc w:val="end"/>
                    <w:rPr>
                      <w:sz w:val="10"/>
                      <w:szCs w:val="10"/>
                    </w:rPr>
                  </w:pPr>
                  <w:r>
                    <w:rPr>
                      <w:rStyle w:val="Greenngbindingngscope"/>
                      <w:color w:val="008000"/>
                      <w:sz w:val="10"/>
                      <w:szCs w:val="10"/>
                    </w:rPr>
                    <w:t>Free</w:t>
                  </w:r>
                </w:p>
              </w:tc>
            </w:tr>
            <w:tr>
              <w:trPr/>
              <w:tc>
                <w:tcPr>
                  <w:tcW w:w="960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Total</w:t>
                  </w:r>
                </w:p>
              </w:tc>
              <w:tc>
                <w:tcPr>
                  <w:tcW w:w="728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jc w:val="end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$34.99</w:t>
                  </w:r>
                </w:p>
              </w:tc>
            </w:tr>
          </w:tbl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W w:w="269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0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5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61" w:type="dxa"/>
            <w:gridSpan w:val="3"/>
            <w:tcBorders>
              <w:top w:val="single" w:sz="2" w:space="0" w:color="C0C0C0"/>
            </w:tcBorders>
            <w:shd w:fill="auto" w:val="clear"/>
          </w:tcPr>
          <w:p>
            <w:pPr>
              <w:pStyle w:val="Heading2"/>
              <w:spacing w:before="0" w:after="0"/>
              <w:rPr>
                <w:rFonts w:ascii="Helvetica" w:hAnsi="Helvetica" w:cs="Helvetica"/>
                <w:b w:val="false"/>
                <w:b w:val="false"/>
                <w:bCs w:val="false"/>
                <w:sz w:val="17"/>
                <w:szCs w:val="17"/>
              </w:rPr>
            </w:pPr>
            <w:r>
              <w:rPr>
                <w:rFonts w:cs="Helvetica" w:ascii="Helvetica" w:hAnsi="Helvetica"/>
                <w:b w:val="false"/>
                <w:bCs w:val="false"/>
                <w:sz w:val="17"/>
                <w:szCs w:val="17"/>
              </w:rPr>
              <w:t>Item(s) bought from</w:t>
            </w:r>
            <w:r>
              <w:rPr>
                <w:rStyle w:val="Appleconvertedspace"/>
                <w:rFonts w:cs="Helvetica" w:ascii="Helvetica" w:hAnsi="Helvetica"/>
                <w:b/>
                <w:bCs/>
                <w:sz w:val="17"/>
                <w:szCs w:val="17"/>
              </w:rPr>
              <w:t> </w:t>
            </w:r>
            <w:r>
              <w:rPr>
                <w:rStyle w:val="Ngbinding"/>
                <w:rFonts w:cs="Helvetica" w:ascii="Helvetica" w:hAnsi="Helvetica"/>
                <w:b/>
                <w:bCs/>
                <w:sz w:val="17"/>
                <w:szCs w:val="17"/>
              </w:rPr>
              <w:t>7_continents_minerals_and_mining</w:t>
            </w:r>
          </w:p>
          <w:p>
            <w:pPr>
              <w:pStyle w:val="Normal"/>
              <w:rPr/>
            </w:pPr>
            <w:r>
              <w:rPr/>
              <w:br/>
            </w:r>
          </w:p>
          <w:tbl>
            <w:tblPr>
              <w:tblW w:w="7951" w:type="dxa"/>
              <w:jc w:val="start"/>
              <w:tblInd w:w="0" w:type="dxa"/>
              <w:tblBorders>
                <w:top w:val="single" w:sz="2" w:space="0" w:color="FFFFFF"/>
              </w:tblBorders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378"/>
              <w:gridCol w:w="5200"/>
              <w:gridCol w:w="1607"/>
              <w:gridCol w:w="766"/>
            </w:tblGrid>
            <w:tr>
              <w:trPr>
                <w:tblHeader w:val="true"/>
              </w:trPr>
              <w:tc>
                <w:tcPr>
                  <w:tcW w:w="378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Qty</w:t>
                  </w:r>
                </w:p>
              </w:tc>
              <w:tc>
                <w:tcPr>
                  <w:tcW w:w="5200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Item name</w:t>
                  </w:r>
                </w:p>
              </w:tc>
              <w:tc>
                <w:tcPr>
                  <w:tcW w:w="1607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Shipping service</w:t>
                  </w:r>
                </w:p>
              </w:tc>
              <w:tc>
                <w:tcPr>
                  <w:tcW w:w="766" w:type="dxa"/>
                  <w:tcBorders/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b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sz w:val="10"/>
                      <w:szCs w:val="10"/>
                    </w:rPr>
                    <w:t>Item price</w:t>
                  </w:r>
                </w:p>
              </w:tc>
            </w:tr>
            <w:tr>
              <w:trPr/>
              <w:tc>
                <w:tcPr>
                  <w:tcW w:w="378" w:type="dxa"/>
                  <w:tcBorders>
                    <w:top w:val="single" w:sz="2" w:space="0" w:color="FFFFFF"/>
                  </w:tcBorders>
                  <w:shd w:fill="auto" w:val="clear"/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5200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Pectolite and Prehnite Mineral Specimen, New Jersey - Museum Quality! (162109257948)</w:t>
                  </w:r>
                </w:p>
              </w:tc>
              <w:tc>
                <w:tcPr>
                  <w:tcW w:w="1607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USPS First Class Package</w:t>
                  </w:r>
                </w:p>
              </w:tc>
              <w:tc>
                <w:tcPr>
                  <w:tcW w:w="766" w:type="dxa"/>
                  <w:tcBorders>
                    <w:top w:val="single" w:sz="2" w:space="0" w:color="FFFFFF"/>
                  </w:tcBorders>
                  <w:shd w:fill="auto" w:val="clear"/>
                  <w:tcMar>
                    <w:top w:w="0" w:type="dxa"/>
                    <w:start w:w="0" w:type="dxa"/>
                    <w:bottom w:w="0" w:type="dxa"/>
                    <w:end w:w="0" w:type="dxa"/>
                  </w:tcMar>
                </w:tcPr>
                <w:p>
                  <w:pPr>
                    <w:pStyle w:val="Normal"/>
                    <w:spacing w:lineRule="atLeast" w:line="124"/>
                    <w:rPr>
                      <w:sz w:val="10"/>
                      <w:szCs w:val="10"/>
                    </w:rPr>
                  </w:pPr>
                  <w:r>
                    <w:rPr>
                      <w:rStyle w:val="Ngbinding"/>
                      <w:sz w:val="10"/>
                      <w:szCs w:val="10"/>
                    </w:rPr>
                    <w:t>$34.99</w:t>
                  </w:r>
                </w:p>
              </w:tc>
            </w:tr>
          </w:tbl>
          <w:p>
            <w:pPr>
              <w:pStyle w:val="Normal"/>
              <w:spacing w:before="207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Greenngbindingngscope">
    <w:name w:val="green ng-binding ng-scope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2016-07-04T13:12:00Z</dcterms:created>
  <dc:creator>owner</dc:creator>
  <dc:description/>
  <dc:language>en-US</dc:language>
  <cp:lastModifiedBy>owner</cp:lastModifiedBy>
  <dcterms:modified xsi:type="dcterms:W3CDTF">2016-07-04T14:10:00Z</dcterms:modified>
  <cp:revision>2</cp:revision>
  <dc:subject/>
  <dc:title>MIN-Franklin-NJ- Pectolite and Prehnite on Matrix</dc:title>
</cp:coreProperties>
</file>