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A000-EUR-Latvia-Figurine Pendant-Female-Amber-Neolithic-5500 BCE</w:t>
      </w:r>
    </w:p>
    <w:p>
      <w:pPr>
        <w:pStyle w:val="Normal"/>
        <w:rPr/>
      </w:pPr>
      <w:r>
        <w:rPr/>
        <w:drawing>
          <wp:inline distT="0" distB="0" distL="0" distR="0">
            <wp:extent cx="1817370" cy="457644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7" t="-7" r="-1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947545" cy="455993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7" r="-1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465070" cy="458089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8" r="-1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 xml:space="preserve">Formal Label: </w:t>
      </w:r>
      <w:r>
        <w:rPr/>
        <w:t>EUR-Latvia-Figurine Pendant-Female-Amber-Neolithic-5500 BCE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</w:t>
      </w:r>
    </w:p>
    <w:p>
      <w:pPr>
        <w:pStyle w:val="Normal"/>
        <w:rPr/>
      </w:pPr>
      <w:r>
        <w:rPr/>
        <w:t xml:space="preserve">Display Description: </w:t>
      </w:r>
    </w:p>
    <w:p>
      <w:pPr>
        <w:pStyle w:val="Normal"/>
        <w:rPr/>
      </w:pPr>
      <w:r>
        <w:rPr/>
        <w:t>Baltic region forests created more than 100,000 tons of amber or succinite 44 mya during the Eocene epoch (Ritzkowski 1997). This figurine dates to the Neolithic period.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LC Classification: </w:t>
      </w:r>
      <w:r>
        <w:rPr/>
        <w:t>GN774.22.E853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5500 BCE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Latvia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Neolithic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amber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H 3 in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>Condition: original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Latvia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/>
      </w:pPr>
      <w:r>
        <w:rPr/>
        <w:t>Gimbutas, M., 1974. </w:t>
      </w:r>
      <w:r>
        <w:rPr>
          <w:i/>
        </w:rPr>
        <w:t>The gods and goddesses of Old Europe: 7000 to 3500 BC myths, legends and cult images</w:t>
      </w:r>
      <w:r>
        <w:rPr/>
        <w:t> (Vol. 4). Los Angeles: Univ of California Press.</w:t>
      </w:r>
    </w:p>
    <w:p>
      <w:pPr>
        <w:pStyle w:val="Normal"/>
        <w:rPr/>
      </w:pPr>
      <w:r>
        <w:rPr/>
        <w:t xml:space="preserve">Riede, Felix and Miikka Tallavaara. 2014. </w:t>
      </w:r>
      <w:r>
        <w:rPr>
          <w:i/>
        </w:rPr>
        <w:t xml:space="preserve">Late glacial and postglacial pioneers in Northern Europe. </w:t>
      </w:r>
      <w:r>
        <w:rPr/>
        <w:t>Oxford: Archaeo Press</w:t>
      </w:r>
    </w:p>
    <w:p>
      <w:pPr>
        <w:pStyle w:val="Normal"/>
        <w:rPr/>
      </w:pPr>
      <w:r>
        <w:rPr/>
        <w:t>Ritzkowski, S. (1997). "K-Ar-Altersbestimmungen der Bernsteinführenden Sedimente des Samlandes (Paläogen, Bezirk Kaliningrad)". </w:t>
      </w:r>
      <w:r>
        <w:rPr>
          <w:i/>
        </w:rPr>
        <w:t>Metalla. Bochum</w:t>
      </w:r>
      <w:r>
        <w:rPr/>
        <w:t>. 66 (Sonderheft): 19–23.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954F7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2018-08-15T08:53:00Z</dcterms:created>
  <dc:creator>owner</dc:creator>
  <dc:description/>
  <cp:keywords/>
  <dc:language>en-US</dc:language>
  <cp:lastModifiedBy>Ralph Coffman</cp:lastModifiedBy>
  <dcterms:modified xsi:type="dcterms:W3CDTF">2018-08-15T08:53:00Z</dcterms:modified>
  <cp:revision>2</cp:revision>
  <dc:subject/>
  <dc:title>DIS-EUR-Paleolithic-Figurine-Amber</dc:title>
</cp:coreProperties>
</file>