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F21" w:rsidRPr="00D123AD" w:rsidRDefault="008527DD" w:rsidP="009C0F2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A000</w:t>
      </w:r>
      <w:r w:rsidR="009C0F21" w:rsidRPr="00D123AD">
        <w:rPr>
          <w:rFonts w:ascii="Times New Roman" w:hAnsi="Times New Roman" w:cs="Times New Roman"/>
          <w:sz w:val="24"/>
          <w:szCs w:val="24"/>
        </w:rPr>
        <w:t>-Eur-</w:t>
      </w:r>
      <w:r w:rsidR="009C0F21">
        <w:rPr>
          <w:rFonts w:ascii="Times New Roman" w:hAnsi="Times New Roman" w:cs="Times New Roman"/>
          <w:sz w:val="24"/>
          <w:szCs w:val="24"/>
        </w:rPr>
        <w:t xml:space="preserve">Female Figurine-Seated-Bulgaria, </w:t>
      </w:r>
      <w:proofErr w:type="spellStart"/>
      <w:r w:rsidR="009C0F21">
        <w:rPr>
          <w:rFonts w:ascii="Times New Roman" w:hAnsi="Times New Roman" w:cs="Times New Roman"/>
          <w:sz w:val="24"/>
          <w:szCs w:val="24"/>
        </w:rPr>
        <w:t>Stara</w:t>
      </w:r>
      <w:proofErr w:type="spellEnd"/>
      <w:r w:rsidR="009C0F21">
        <w:rPr>
          <w:rFonts w:ascii="Times New Roman" w:hAnsi="Times New Roman" w:cs="Times New Roman"/>
          <w:sz w:val="24"/>
          <w:szCs w:val="24"/>
        </w:rPr>
        <w:t xml:space="preserve"> Zagora</w:t>
      </w:r>
    </w:p>
    <w:bookmarkEnd w:id="0"/>
    <w:p w:rsidR="0031028B" w:rsidRDefault="0031028B"/>
    <w:p w:rsidR="009C0F21" w:rsidRDefault="009C0F21">
      <w:r>
        <w:rPr>
          <w:noProof/>
        </w:rPr>
        <w:drawing>
          <wp:inline distT="0" distB="0" distL="0" distR="0" wp14:anchorId="77F0DF42" wp14:editId="4F40D04A">
            <wp:extent cx="22193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7DD">
        <w:t xml:space="preserve"> </w:t>
      </w:r>
      <w:r w:rsidR="008527DD">
        <w:rPr>
          <w:noProof/>
        </w:rPr>
        <w:drawing>
          <wp:inline distT="0" distB="0" distL="0" distR="0" wp14:anchorId="0FC61CAD" wp14:editId="2EEFC112">
            <wp:extent cx="1135223" cy="2678357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7470" cy="27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DD" w:rsidRDefault="008527DD">
      <w:r>
        <w:t>Left: original Right: reconstructed</w:t>
      </w:r>
    </w:p>
    <w:p w:rsidR="00D841E5" w:rsidRPr="007D77FE" w:rsidRDefault="00D841E5" w:rsidP="00D841E5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="007D77F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7D77FE" w:rsidRPr="001A026F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="007D77F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7D77FE">
        <w:rPr>
          <w:rFonts w:ascii="Times New Roman" w:hAnsi="Times New Roman" w:cs="Times New Roman"/>
          <w:sz w:val="24"/>
          <w:szCs w:val="24"/>
        </w:rPr>
        <w:t>Bulgaria, Stara Zagora, Seated Female Figurine</w:t>
      </w:r>
    </w:p>
    <w:p w:rsidR="00E618A0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="00E618A0">
        <w:rPr>
          <w:rFonts w:ascii="Times New Roman" w:hAnsi="Times New Roman" w:cs="Times New Roman"/>
          <w:sz w:val="24"/>
          <w:szCs w:val="24"/>
        </w:rPr>
        <w:t>A125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A026F">
        <w:rPr>
          <w:rFonts w:ascii="Times New Roman" w:hAnsi="Times New Roman" w:cs="Times New Roman"/>
          <w:sz w:val="24"/>
          <w:szCs w:val="24"/>
        </w:rPr>
        <w:t xml:space="preserve"> 6</w:t>
      </w:r>
      <w:r w:rsidRPr="001A02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A026F">
        <w:rPr>
          <w:rFonts w:ascii="Times New Roman" w:hAnsi="Times New Roman" w:cs="Times New Roman"/>
          <w:sz w:val="24"/>
          <w:szCs w:val="24"/>
        </w:rPr>
        <w:t xml:space="preserve"> millennium BCE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Stara Zagora, Bulgaria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A026F">
        <w:rPr>
          <w:rFonts w:ascii="Times New Roman" w:hAnsi="Times New Roman" w:cs="Times New Roman"/>
          <w:sz w:val="24"/>
          <w:szCs w:val="24"/>
        </w:rPr>
        <w:t xml:space="preserve"> Neolithic</w:t>
      </w:r>
    </w:p>
    <w:p w:rsidR="00D841E5" w:rsidRPr="00E618A0" w:rsidRDefault="00D841E5" w:rsidP="00D841E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terracotta </w:t>
      </w:r>
      <w:proofErr w:type="spellStart"/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colored</w:t>
      </w:r>
      <w:proofErr w:type="spellEnd"/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with charcoal and red ochre, Fe</w:t>
      </w:r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>2</w:t>
      </w:r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O</w:t>
      </w:r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>3</w:t>
      </w:r>
      <w:r w:rsidR="00E618A0"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.; </w:t>
      </w:r>
      <w:r w:rsidR="00E618A0"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r w:rsidR="00E618A0"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reproduction</w:t>
      </w:r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in ceramic,</w:t>
      </w:r>
      <w:r w:rsidR="00E618A0"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restored</w:t>
      </w:r>
      <w:r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to original </w:t>
      </w:r>
      <w:proofErr w:type="spellStart"/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colors</w:t>
      </w:r>
      <w:proofErr w:type="spellEnd"/>
      <w:r w:rsid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.</w:t>
      </w:r>
      <w:r w:rsidRPr="00E618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1E5" w:rsidRPr="001A026F" w:rsidRDefault="00D841E5" w:rsidP="00D841E5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</w:p>
    <w:p w:rsidR="00D841E5" w:rsidRPr="001A026F" w:rsidRDefault="00D841E5" w:rsidP="00D841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026F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="00E618A0"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  <w:r w:rsidRPr="001A02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18A0">
        <w:rPr>
          <w:rFonts w:ascii="Times New Roman" w:hAnsi="Times New Roman" w:cs="Times New Roman"/>
          <w:sz w:val="24"/>
          <w:szCs w:val="24"/>
        </w:rPr>
        <w:t>Replica</w:t>
      </w:r>
    </w:p>
    <w:p w:rsidR="00D841E5" w:rsidRPr="001A026F" w:rsidRDefault="00D841E5" w:rsidP="00D841E5">
      <w:pPr>
        <w:rPr>
          <w:rFonts w:ascii="Times New Roman" w:hAnsi="Times New Roman" w:cs="Times New Roman"/>
          <w:sz w:val="24"/>
          <w:szCs w:val="24"/>
        </w:rPr>
      </w:pPr>
      <w:r w:rsidRPr="001A026F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Pr="001A026F">
        <w:rPr>
          <w:rFonts w:ascii="Times New Roman" w:hAnsi="Times New Roman" w:cs="Times New Roman"/>
          <w:sz w:val="24"/>
          <w:szCs w:val="24"/>
        </w:rPr>
        <w:t>Th</w:t>
      </w:r>
      <w:r w:rsidR="00E618A0">
        <w:rPr>
          <w:rFonts w:ascii="Times New Roman" w:hAnsi="Times New Roman" w:cs="Times New Roman"/>
          <w:sz w:val="24"/>
          <w:szCs w:val="24"/>
        </w:rPr>
        <w:t>is figurine</w:t>
      </w:r>
      <w:r w:rsidRPr="001A026F">
        <w:rPr>
          <w:rFonts w:ascii="Times New Roman" w:hAnsi="Times New Roman" w:cs="Times New Roman"/>
          <w:sz w:val="24"/>
          <w:szCs w:val="24"/>
        </w:rPr>
        <w:t xml:space="preserve"> date</w:t>
      </w:r>
      <w:r w:rsidR="00E618A0">
        <w:rPr>
          <w:rFonts w:ascii="Times New Roman" w:hAnsi="Times New Roman" w:cs="Times New Roman"/>
          <w:sz w:val="24"/>
          <w:szCs w:val="24"/>
        </w:rPr>
        <w:t>s</w:t>
      </w:r>
      <w:r w:rsidRPr="001A026F">
        <w:rPr>
          <w:rFonts w:ascii="Times New Roman" w:hAnsi="Times New Roman" w:cs="Times New Roman"/>
          <w:sz w:val="24"/>
          <w:szCs w:val="24"/>
        </w:rPr>
        <w:t xml:space="preserve"> to the beginning of far</w:t>
      </w:r>
      <w:r w:rsidR="00E618A0">
        <w:rPr>
          <w:rFonts w:ascii="Times New Roman" w:hAnsi="Times New Roman" w:cs="Times New Roman"/>
          <w:sz w:val="24"/>
          <w:szCs w:val="24"/>
        </w:rPr>
        <w:t>ming in central Europe and the</w:t>
      </w:r>
      <w:r w:rsidRPr="001A026F">
        <w:rPr>
          <w:rFonts w:ascii="Times New Roman" w:hAnsi="Times New Roman" w:cs="Times New Roman"/>
          <w:sz w:val="24"/>
          <w:szCs w:val="24"/>
        </w:rPr>
        <w:t xml:space="preserve"> red ochre geometric markings probably emulated the shape of tattoos or body paint.</w:t>
      </w:r>
      <w:r>
        <w:rPr>
          <w:rFonts w:ascii="Times New Roman" w:hAnsi="Times New Roman" w:cs="Times New Roman"/>
          <w:sz w:val="24"/>
          <w:szCs w:val="24"/>
        </w:rPr>
        <w:t xml:space="preserve"> The production of </w:t>
      </w:r>
      <w:r w:rsidR="00E618A0"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Stara Zagora</w:t>
      </w:r>
      <w:r w:rsidR="00E61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ceramic figurines indicates that this was a sedentary society in which there was </w:t>
      </w:r>
      <w:r w:rsidR="006564D2">
        <w:rPr>
          <w:rFonts w:ascii="Times New Roman" w:hAnsi="Times New Roman" w:cs="Times New Roman"/>
          <w:sz w:val="24"/>
          <w:szCs w:val="24"/>
        </w:rPr>
        <w:t>expendable</w:t>
      </w:r>
      <w:r>
        <w:rPr>
          <w:rFonts w:ascii="Times New Roman" w:hAnsi="Times New Roman" w:cs="Times New Roman"/>
          <w:sz w:val="24"/>
          <w:szCs w:val="24"/>
        </w:rPr>
        <w:t xml:space="preserve"> time for producing amulets such as this for individuals.</w:t>
      </w:r>
    </w:p>
    <w:p w:rsidR="00D841E5" w:rsidRPr="00D123AD" w:rsidRDefault="00D841E5" w:rsidP="00D841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6564D2" w:rsidRPr="006564D2" w:rsidRDefault="006564D2" w:rsidP="0065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Grębska-Kulow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</w:t>
      </w:r>
      <w:r w:rsidRPr="006564D2">
        <w:rPr>
          <w:rFonts w:ascii="Times New Roman" w:eastAsia="Times New Roman" w:hAnsi="Times New Roman" w:cs="Times New Roman"/>
          <w:sz w:val="24"/>
          <w:szCs w:val="24"/>
        </w:rPr>
        <w:t xml:space="preserve"> 2016. Prehistoric Anthropomorphic Figurines with Masks as the Basis for the </w:t>
      </w:r>
      <w:proofErr w:type="spellStart"/>
      <w:r w:rsidRPr="006564D2">
        <w:rPr>
          <w:rFonts w:ascii="Times New Roman" w:eastAsia="Times New Roman" w:hAnsi="Times New Roman" w:cs="Times New Roman"/>
          <w:sz w:val="24"/>
          <w:szCs w:val="24"/>
        </w:rPr>
        <w:t>Kuker’s</w:t>
      </w:r>
      <w:proofErr w:type="spellEnd"/>
      <w:r w:rsidRPr="006564D2">
        <w:rPr>
          <w:rFonts w:ascii="Times New Roman" w:eastAsia="Times New Roman" w:hAnsi="Times New Roman" w:cs="Times New Roman"/>
          <w:sz w:val="24"/>
          <w:szCs w:val="24"/>
        </w:rPr>
        <w:t xml:space="preserve"> Ritual in Bulgarian Folklore. In </w:t>
      </w:r>
      <w:r w:rsidRPr="006564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Intangible Elements of Culture in </w:t>
      </w:r>
      <w:proofErr w:type="spellStart"/>
      <w:r w:rsidRPr="006564D2">
        <w:rPr>
          <w:rFonts w:ascii="Times New Roman" w:eastAsia="Times New Roman" w:hAnsi="Times New Roman" w:cs="Times New Roman"/>
          <w:i/>
          <w:iCs/>
          <w:sz w:val="24"/>
          <w:szCs w:val="24"/>
        </w:rPr>
        <w:t>Ethnoarchaeological</w:t>
      </w:r>
      <w:proofErr w:type="spellEnd"/>
      <w:r w:rsidRPr="006564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Research</w:t>
      </w:r>
      <w:r w:rsidRPr="006564D2">
        <w:rPr>
          <w:rFonts w:ascii="Times New Roman" w:eastAsia="Times New Roman" w:hAnsi="Times New Roman" w:cs="Times New Roman"/>
          <w:sz w:val="24"/>
          <w:szCs w:val="24"/>
        </w:rPr>
        <w:t xml:space="preserve"> (pp. 201-210). Springer International Publishing.</w:t>
      </w:r>
    </w:p>
    <w:p w:rsidR="00D841E5" w:rsidRDefault="00D841E5"/>
    <w:sectPr w:rsidR="00D841E5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21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564D2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D77FE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30214"/>
    <w:rsid w:val="00830B97"/>
    <w:rsid w:val="00830D10"/>
    <w:rsid w:val="00831833"/>
    <w:rsid w:val="00833AE1"/>
    <w:rsid w:val="0083480A"/>
    <w:rsid w:val="00841F10"/>
    <w:rsid w:val="00842B31"/>
    <w:rsid w:val="00845E41"/>
    <w:rsid w:val="00847B3D"/>
    <w:rsid w:val="0085172E"/>
    <w:rsid w:val="008527DD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0F2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1E5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18A0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D85F5-9698-4F0A-B68A-C4EE229E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D84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2018-08-15T17:38:00Z</dcterms:created>
  <dcterms:modified xsi:type="dcterms:W3CDTF">2018-08-15T17:38:00Z</dcterms:modified>
</cp:coreProperties>
</file>