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/>
    <w:p w:rsidR="00062772" w:rsidRPr="00FA1CB9" w:rsidRDefault="00062772" w:rsidP="00062772">
      <w:pPr>
        <w:pStyle w:val="Heading1"/>
        <w:spacing w:before="0" w:beforeAutospacing="0" w:after="0" w:afterAutospacing="0"/>
        <w:rPr>
          <w:rStyle w:val="Strong"/>
          <w:b/>
          <w:bCs/>
          <w:color w:val="000000" w:themeColor="text1"/>
          <w:sz w:val="24"/>
          <w:szCs w:val="24"/>
        </w:rPr>
      </w:pPr>
      <w:r>
        <w:rPr>
          <w:sz w:val="24"/>
          <w:szCs w:val="24"/>
        </w:rPr>
        <w:t> Dis-</w:t>
      </w:r>
      <w:proofErr w:type="spellStart"/>
      <w:r w:rsidRPr="00AF2DEF">
        <w:rPr>
          <w:sz w:val="24"/>
          <w:szCs w:val="24"/>
        </w:rPr>
        <w:t>Eur</w:t>
      </w:r>
      <w:proofErr w:type="spellEnd"/>
      <w:r w:rsidRPr="00AF2DEF">
        <w:rPr>
          <w:sz w:val="24"/>
          <w:szCs w:val="24"/>
        </w:rPr>
        <w:t>-UK-</w:t>
      </w:r>
      <w:r>
        <w:rPr>
          <w:sz w:val="24"/>
          <w:szCs w:val="24"/>
        </w:rPr>
        <w:t>Kent-</w:t>
      </w:r>
      <w:r w:rsidRPr="00062772">
        <w:rPr>
          <w:sz w:val="24"/>
          <w:szCs w:val="24"/>
        </w:rPr>
        <w:t xml:space="preserve"> </w:t>
      </w:r>
      <w:proofErr w:type="spellStart"/>
      <w:r w:rsidRPr="00062772">
        <w:rPr>
          <w:sz w:val="24"/>
          <w:szCs w:val="24"/>
        </w:rPr>
        <w:t>Barnﬁeld</w:t>
      </w:r>
      <w:proofErr w:type="spellEnd"/>
      <w:r w:rsidRPr="00062772">
        <w:rPr>
          <w:sz w:val="24"/>
          <w:szCs w:val="24"/>
        </w:rPr>
        <w:t xml:space="preserve"> Pit, </w:t>
      </w:r>
      <w:proofErr w:type="spellStart"/>
      <w:r w:rsidRPr="00062772">
        <w:rPr>
          <w:sz w:val="24"/>
          <w:szCs w:val="24"/>
        </w:rPr>
        <w:t>Swanscombe</w:t>
      </w:r>
      <w:proofErr w:type="spellEnd"/>
      <w:r w:rsidRPr="00AF2DEF">
        <w:rPr>
          <w:sz w:val="24"/>
          <w:szCs w:val="24"/>
        </w:rPr>
        <w:t>-</w:t>
      </w:r>
      <w:r>
        <w:rPr>
          <w:rStyle w:val="Strong"/>
          <w:b/>
          <w:sz w:val="24"/>
          <w:szCs w:val="24"/>
        </w:rPr>
        <w:t xml:space="preserve">Middle Paleolithic, </w:t>
      </w:r>
      <w:r w:rsidRPr="00FA1CB9">
        <w:rPr>
          <w:color w:val="000000" w:themeColor="text1"/>
          <w:sz w:val="24"/>
          <w:szCs w:val="24"/>
        </w:rPr>
        <w:t>Mousterian</w:t>
      </w:r>
      <w:r>
        <w:rPr>
          <w:color w:val="000000" w:themeColor="text1"/>
          <w:sz w:val="24"/>
          <w:szCs w:val="24"/>
        </w:rPr>
        <w:t>-</w:t>
      </w:r>
      <w:r w:rsidRPr="00FA1CB9">
        <w:rPr>
          <w:color w:val="000000" w:themeColor="text1"/>
          <w:sz w:val="24"/>
          <w:szCs w:val="24"/>
        </w:rPr>
        <w:t xml:space="preserve">60,000 - 40,000 </w:t>
      </w:r>
      <w:r>
        <w:rPr>
          <w:color w:val="000000" w:themeColor="text1"/>
          <w:sz w:val="24"/>
          <w:szCs w:val="24"/>
        </w:rPr>
        <w:t>BP</w:t>
      </w:r>
      <w:r w:rsidRPr="00FA1CB9">
        <w:rPr>
          <w:color w:val="000000" w:themeColor="text1"/>
          <w:sz w:val="24"/>
          <w:szCs w:val="24"/>
        </w:rPr>
        <w:t> 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Book review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z w:val="24"/>
          <w:szCs w:val="24"/>
        </w:rPr>
        <w:t> Journal of Human Evolution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z w:val="24"/>
          <w:szCs w:val="24"/>
        </w:rPr>
        <w:t>(1997)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z w:val="24"/>
          <w:szCs w:val="24"/>
        </w:rPr>
        <w:t>32,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z w:val="24"/>
          <w:szCs w:val="24"/>
        </w:rPr>
        <w:t>403–406</w:t>
      </w:r>
    </w:p>
    <w:p w:rsidR="00EF2677" w:rsidRDefault="00EF2677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Excavations at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Barnﬁeld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Pit,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>, 1968–72</w:t>
      </w:r>
    </w:p>
    <w:p w:rsidR="00EF2677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pacing w:val="15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British Museum Occasional Paper 94. Edited by B. Conway, J. McNabb and N. </w:t>
      </w:r>
      <w:proofErr w:type="gram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Ashton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(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1996). London: The British Museum. vii+266pp. £20.00 (soft). ISBN 0-86159-094-5.</w:t>
      </w:r>
    </w:p>
    <w:p w:rsidR="00EF2677" w:rsidRDefault="00EF2677" w:rsidP="00062772">
      <w:pPr>
        <w:spacing w:after="0" w:line="240" w:lineRule="auto"/>
        <w:rPr>
          <w:rFonts w:ascii="Times New Roman" w:eastAsia="Times New Roman" w:hAnsi="Times New Roman" w:cs="Times New Roman"/>
          <w:spacing w:val="15"/>
          <w:sz w:val="24"/>
          <w:szCs w:val="24"/>
        </w:rPr>
      </w:pP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The site of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Barnﬁeld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Pit,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, Kent, remains central to our understanding of 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European Middle Pleistocene hominid evolution, and the British Lower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Palaeolithic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sequencein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particular.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has been a focus of archaeological and geological research since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latter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part of the 19th Century, when industrial extraction of sands and gravels led to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discovery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of ﬂint artefacts and fossil bones. Since the site was ﬁrst reported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by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F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 xml:space="preserve">. C. J.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Spurrell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(</w:t>
      </w:r>
      <w:proofErr w:type="gramEnd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1883)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excavations have produced core, ﬂake, and bifacial lithic industries, footprint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surfaces,and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 vertebrate faunal accumulation which is historically considered to represent the ‘‘true’’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Hoxnian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interglacial fauna. Perhaps more importantly, the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deposits produced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hominid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skull, comprising both parietals and the occipital bone</w:t>
      </w:r>
      <w:r w:rsidR="000743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(Marston, </w:t>
      </w:r>
      <w:proofErr w:type="gramStart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1936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Wymer</w:t>
      </w:r>
      <w:proofErr w:type="gramEnd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, 1955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) 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with the result that the site was the ﬁrst, if one excludes the aberration of Piltdown, among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aselect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band of sites in Britain to have yielded Middle Pleistocene human remains, the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othersbeing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Boxgrove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, Sussex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( </w:t>
      </w:r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Roberts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 xml:space="preserve">et al., </w:t>
      </w:r>
      <w:proofErr w:type="gramStart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1994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and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Pontnewydd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Clwydd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>( 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Green, 1984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. The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Hoxnian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deposits have been placed within Oxygen Isotope Stage 11, with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skull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fragments being derived from the Upper Middle Gravels of this sequence; this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places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the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hominid somewhere between 380 and 400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kya.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Taxonomically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, the hominid from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can most probably be subsumed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withinthe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informal taxon ‘‘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archaicHomo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sapiens </w:t>
      </w:r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’’ (AHS) which is often linked to the </w:t>
      </w:r>
      <w:proofErr w:type="spellStart"/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>speciﬁc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nomen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Homo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heidelbergensis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 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(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Schoetensack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, 1908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). At the time of its discovery, however,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skull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was allied with a ‘‘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Neanderthaloid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Intermediate’’ group comprising skulls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from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Steinheim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Ehringsdorf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Krapina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and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Skhul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(</w:t>
      </w:r>
      <w:proofErr w:type="gramEnd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Weiner &amp; Campbell, 1964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, skulls which are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now thought to represent a mixed assortment of taxa— 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H.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heidelbergensis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H.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neanderthalensis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 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and early anatomically modern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H. </w:t>
      </w:r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sapiens .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This serves to illustrate the changes in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taxonomicallocation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that have gone on since the 1960s, largely brought about through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chronological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revision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of the sites in question. However, in the closing years of this century it must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besaid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, in all honesty, that our picture of Middle Pleistocene hominid evolution is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still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muddled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confused, and very far from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resolution.In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general, the Middle Pleistocene record is inextricably linked with the evolution of 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Homo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erectus 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and its early African congener,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Homo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ergast</w:t>
      </w:r>
      <w:r w:rsidR="00EF2677">
        <w:rPr>
          <w:rFonts w:ascii="Times New Roman" w:eastAsia="Times New Roman" w:hAnsi="Times New Roman" w:cs="Times New Roman"/>
          <w:spacing w:val="15"/>
          <w:sz w:val="24"/>
          <w:szCs w:val="24"/>
        </w:rPr>
        <w:t>er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. These hominids moved out of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Africa,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reaching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Europe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(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Gabunia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 xml:space="preserve"> &amp; 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Vekua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, 1995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and Eastern Asia (Huang 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et al., </w:t>
      </w:r>
      <w:proofErr w:type="gram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1995;</w:t>
      </w:r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Wood</w:t>
      </w:r>
      <w:proofErr w:type="gramEnd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 xml:space="preserve"> &amp;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Turner, 1995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at around 1·8–1·6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mya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with the establishment of distinct regional populations.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After this ﬁrst diaspora, the picture becomes less clear, but it is generally accepted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biologically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di</w:t>
      </w:r>
      <w:r w:rsidRPr="00062772">
        <w:rPr>
          <w:rFonts w:ascii="Cambria Math" w:eastAsia="Times New Roman" w:hAnsi="Cambria Math" w:cs="Cambria Math"/>
          <w:sz w:val="24"/>
          <w:szCs w:val="24"/>
        </w:rPr>
        <w:t>ﬀ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erentiated peoples appeared during the Middle Pleistocene,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distinguishedpredominantly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by a larger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endocranial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volume, and more derived facial and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basicranial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characters</w:t>
      </w:r>
      <w:proofErr w:type="spellEnd"/>
      <w:proofErr w:type="gram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—‘</w:t>
      </w:r>
      <w:proofErr w:type="gram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AHS’. The tempo and pattern of their appearance is debatable, with the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0047–2484/97/040403+04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lastRenderedPageBreak/>
        <w:t>$25.00/0/hu970098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hypodigm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comprising a remarkably heterogeneous collection of material from sites such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as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Mauer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(the type site </w:t>
      </w:r>
      <w:proofErr w:type="gramStart"/>
      <w:r w:rsidRPr="00062772">
        <w:rPr>
          <w:rFonts w:ascii="Times New Roman" w:eastAsia="Times New Roman" w:hAnsi="Times New Roman" w:cs="Times New Roman"/>
          <w:sz w:val="24"/>
          <w:szCs w:val="24"/>
        </w:rPr>
        <w:t>of 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H.</w:t>
      </w:r>
      <w:proofErr w:type="gramEnd"/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677">
        <w:rPr>
          <w:rFonts w:ascii="Times New Roman" w:eastAsia="Times New Roman" w:hAnsi="Times New Roman" w:cs="Times New Roman"/>
          <w:sz w:val="24"/>
          <w:szCs w:val="24"/>
        </w:rPr>
        <w:t>heidelbergensis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Arago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Atapuerca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Boxgrove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Petralona,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Bilzingsleben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and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Steinheim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in Europe, and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Kabwe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Bodo,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Elandsfontein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, Cave of Hearths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(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Makapansgat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) and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Ndutu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in Africa. In Asia, the material is often largely inseparable from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gramStart"/>
      <w:r w:rsidRPr="00062772">
        <w:rPr>
          <w:rFonts w:ascii="Times New Roman" w:eastAsia="Times New Roman" w:hAnsi="Times New Roman" w:cs="Times New Roman"/>
          <w:sz w:val="24"/>
          <w:szCs w:val="24"/>
        </w:rPr>
        <w:t>erectus 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,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but has been identiﬁed from sites such as Dali,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Xujiayao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and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Maba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in east Asia,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and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Narmada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in India. The catch-all term AHS obscures a great deal of diversity and geographical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062772">
        <w:rPr>
          <w:rFonts w:ascii="Cambria Math" w:eastAsia="Times New Roman" w:hAnsi="Cambria Math" w:cs="Cambria Math"/>
          <w:sz w:val="24"/>
          <w:szCs w:val="24"/>
        </w:rPr>
        <w:t>ﬀ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erentiation, and it has become clear that AHS really represents little more than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a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‘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‘wastebasket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taxon’’ into which a variety of phylogenetically unrelated specimens have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beendumped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. This point is taken up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by</w:t>
      </w:r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Lieberman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 (</w:t>
      </w:r>
      <w:proofErr w:type="gramStart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1995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, who notes: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‘‘. . . any taxon with a relatively large brain that is less than 500,000 years old is usually labelled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H. sapiens 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by convention. In other words, archaic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H. </w:t>
      </w:r>
      <w:proofErr w:type="gramStart"/>
      <w:r w:rsidRPr="00062772">
        <w:rPr>
          <w:rFonts w:ascii="Times New Roman" w:eastAsia="Times New Roman" w:hAnsi="Times New Roman" w:cs="Times New Roman"/>
          <w:sz w:val="24"/>
          <w:szCs w:val="24"/>
        </w:rPr>
        <w:t>sapiens 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a grade rather than a clade deﬁnition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is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therefore incapable of ﬁtting into any cladogram because it may belong to several di</w:t>
      </w:r>
      <w:r w:rsidRPr="00062772">
        <w:rPr>
          <w:rFonts w:ascii="Cambria Math" w:eastAsia="Times New Roman" w:hAnsi="Cambria Math" w:cs="Cambria Math"/>
          <w:sz w:val="24"/>
          <w:szCs w:val="24"/>
        </w:rPr>
        <w:t>ﬀ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erent clades</w:t>
      </w:r>
      <w:r w:rsidR="004D5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that do not share the same ancestor (i.e. it is paraphyletic). Resolution of this taxonomic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problem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remains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necessary.’’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Resolution is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currrently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, and will be for some time,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extrem</w:t>
      </w:r>
      <w:r w:rsidR="00EF2677">
        <w:rPr>
          <w:rFonts w:ascii="Times New Roman" w:eastAsia="Times New Roman" w:hAnsi="Times New Roman" w:cs="Times New Roman"/>
          <w:spacing w:val="45"/>
          <w:sz w:val="24"/>
          <w:szCs w:val="24"/>
        </w:rPr>
        <w:t>ely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di</w:t>
      </w:r>
      <w:r w:rsidRPr="00062772">
        <w:rPr>
          <w:rFonts w:ascii="Cambria Math" w:eastAsia="Times New Roman" w:hAnsi="Cambria Math" w:cs="Cambria Math"/>
          <w:sz w:val="24"/>
          <w:szCs w:val="24"/>
        </w:rPr>
        <w:t>ﬃ</w:t>
      </w:r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>cult</w:t>
      </w:r>
      <w:proofErr w:type="spellEnd"/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. Many of </w:t>
      </w:r>
      <w:proofErr w:type="spellStart"/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problems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derive from the poorly dated (or at the very least, highly uncertain) provenance of hominid and archaeological sites during this period. In Europe in particular this has led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to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polemic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argument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centred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around proponents of the ‘‘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long’’vs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‘‘short’’ chronology for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ﬁrst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settlement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of the continent. The ‘‘long’’ chronology places the ﬁrst occupation of Europe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atabout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 million years ago, well before the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Bruhnes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–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Matuyama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(BM) boundary (ca. 780 kya</w:t>
      </w:r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),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and</w:t>
      </w:r>
      <w:proofErr w:type="gram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the European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Cromerian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Glacial Complex, thus placing the earliest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archaeological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evidence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from sites such as Le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Vallonet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in France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(de Lumley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 xml:space="preserve">et al., </w:t>
      </w:r>
      <w:proofErr w:type="gramStart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1988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and</w:t>
      </w:r>
      <w:proofErr w:type="gram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Kärlich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A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inGermany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( 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Wurges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, 1986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 within the Lower Pleistocene. This view of a pre-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Cromerianoccupation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has been taken up recently by researchers working on the Iberian site of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Atapuerca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(TD-6) who attest to have well-dated hominid remains and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artefactual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assemblages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derived</w:t>
      </w:r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>from</w:t>
      </w:r>
      <w:proofErr w:type="spellEnd"/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 xml:space="preserve"> cave deposits that predate the BM </w:t>
      </w:r>
      <w:proofErr w:type="gramStart"/>
      <w:r w:rsidRPr="00062772">
        <w:rPr>
          <w:rFonts w:ascii="Times New Roman" w:eastAsia="Times New Roman" w:hAnsi="Times New Roman" w:cs="Times New Roman"/>
          <w:spacing w:val="60"/>
          <w:sz w:val="24"/>
          <w:szCs w:val="24"/>
        </w:rPr>
        <w:t>Boundary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( 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Carbonell</w:t>
      </w:r>
      <w:proofErr w:type="spellEnd"/>
      <w:proofErr w:type="gramEnd"/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color w:val="000080"/>
          <w:spacing w:val="75"/>
          <w:sz w:val="24"/>
          <w:szCs w:val="24"/>
        </w:rPr>
        <w:t xml:space="preserve">et al., </w:t>
      </w:r>
      <w:proofErr w:type="gramStart"/>
      <w:r w:rsidRPr="00062772">
        <w:rPr>
          <w:rFonts w:ascii="Times New Roman" w:eastAsia="Times New Roman" w:hAnsi="Times New Roman" w:cs="Times New Roman"/>
          <w:color w:val="000080"/>
          <w:spacing w:val="75"/>
          <w:sz w:val="24"/>
          <w:szCs w:val="24"/>
        </w:rPr>
        <w:t>1995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62772">
        <w:rPr>
          <w:rFonts w:ascii="Times New Roman" w:eastAsia="Times New Roman" w:hAnsi="Times New Roman" w:cs="Times New Roman"/>
          <w:color w:val="000080"/>
          <w:spacing w:val="-30"/>
          <w:sz w:val="24"/>
          <w:szCs w:val="24"/>
        </w:rPr>
        <w:t>Pare</w:t>
      </w:r>
      <w:proofErr w:type="gramEnd"/>
      <w:r w:rsidRPr="00062772">
        <w:rPr>
          <w:rFonts w:ascii="Times New Roman" w:eastAsia="Times New Roman" w:hAnsi="Times New Roman" w:cs="Times New Roman"/>
          <w:color w:val="000080"/>
          <w:spacing w:val="-30"/>
          <w:sz w:val="24"/>
          <w:szCs w:val="24"/>
        </w:rPr>
        <w:t>´s &amp;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-45"/>
          <w:sz w:val="24"/>
          <w:szCs w:val="24"/>
        </w:rPr>
        <w:t>Pe´rez-Gonza´lez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-45"/>
          <w:sz w:val="24"/>
          <w:szCs w:val="24"/>
        </w:rPr>
        <w:t>, 1995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. In opposition, the ‘‘short’’ chronologists, led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by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Wil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Roebroeks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 xml:space="preserve"> and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 xml:space="preserve">Thijs van 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Kolfschoten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 xml:space="preserve"> (</w:t>
      </w:r>
      <w:proofErr w:type="gramStart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1994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suggest that there is no evidence for archaeological or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hominidfossil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bearing sites in Europe before 500 kya. The dichotomy is still unresolved, and it is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intothis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arena of debate that the new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volume is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ﬂung.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Conway, Ashton, and McNabb edited multidisciplinary volume presents the results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andinterpretation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Barnﬁeld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Pit excavations of the late John d’Arcy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Waechter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Institute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of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Archaeology, University College London. In 1968,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Waechter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initiated a series of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excava-tions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which ran annually until 1972. These researches concentrated on the Lower Gravel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andLower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Loam, deposits which had received little attention during previous excavations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despitethe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Lower Gravel having produced evidence of a core and ﬂake industry. Due to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Waechter’sdeath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in 1977, a full monograph account of his excavations was never published. The present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volume was initiated in 1992, and has combined previously written reports,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unpublishedhistorical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background notes, and new reports on the archaeology, fauna and footprint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surfaces.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The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authors and reports comprise: Bernard Conway on the history of quarrying in the pit,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anhistorical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perspective on geological research, and the stratigraphy and chronology of the pit;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John McNabb on the historical and theoretical background of the archaeological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excavations;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Steven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Parry on the avifaunal remains; Brian Irving on the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icthyofauna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; Danielle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Schreve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and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Andrew Currant on the mammalian fauna; Peter Davies and Alan Walker on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occurrence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of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footprint surfaces; Eric Robinson on the ostracod fauna; Richard Hubbard on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palynological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sequence; and ﬁnally Nick Ashton and John McNabb on the ﬂint industries and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404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z w:val="24"/>
          <w:szCs w:val="24"/>
        </w:rPr>
        <w:t> 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lastRenderedPageBreak/>
        <w:t xml:space="preserve">their archaeological signiﬁcance. This list includes several researchers (Conway,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Currant,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Davies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, Robinson, and Hubbard) who were involved in the original excavations, and the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endresult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is a coherent, near-complete excavation report, which manages to o</w:t>
      </w:r>
      <w:r w:rsidRPr="00062772">
        <w:rPr>
          <w:rFonts w:ascii="Cambria Math" w:eastAsia="Times New Roman" w:hAnsi="Cambria Math" w:cs="Cambria Math"/>
          <w:sz w:val="24"/>
          <w:szCs w:val="24"/>
        </w:rPr>
        <w:t>ﬀ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er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far more as a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volume than empirical presentation of excavation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results.The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editors could simply have been content to produce a detailed archive of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excavations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and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discussion of the material recovered during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Waechter’s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researches. However,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Conway,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McNabb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and Ashton have elevated this book above the status of the excavation report by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virtue of their attempt to set the excavations at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within an historical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paradigmatic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framework of late 19th and early 20th Century ﬁeld research, with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its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progressively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Darwinian concepts of hominid bio-cultural evolution. Most notable in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this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respect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is McNabb’s chapter ‘‘Through the looking glass’’, which presents an historically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and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theoretically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rigorous assessment of archaeological work undertaken at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.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He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outlines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the signiﬁcance of the early work of </w:t>
      </w:r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Smith &amp; Dewey (</w:t>
      </w:r>
      <w:proofErr w:type="gramStart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1914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at</w:t>
      </w:r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Barnﬁeld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Pit. These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excavators used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artefactual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assemblages found within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Barnﬁeld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stratigraphic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succession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to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establish the validity of the concept of using zone fossils for the ﬁrst time at a British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site.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They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believed that zone-fossils (time-speciﬁc artefact types) could be used to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develop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chrono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-evolutionary sequences for British lithic techno-complexes. This put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Swanscombe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at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the forefront of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palaeolithic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research at the time, with its validation of the notion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that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British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lithic sequences could be used to relatively date stratigraphic sequences at geo-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graphically separated sites. This was perceived to place British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Palaeolithic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research on a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level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peg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with the well-developed,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unilinear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cultural sequences established on the Continent, and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set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apart as a test-bed for models of cultural development in British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sequences;models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that have been subsequently rejected under modern theoretical and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operational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frameworks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. McNabb charts the changing course of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Swanscombe’s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role in the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development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of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these models and their theoretical context, ending with the notion that ‘‘. . . the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most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enduring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legacy of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Barnﬁeld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Pit will prove to be as a reﬂecting mirror for a disciplines growing 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pains’</w:t>
      </w:r>
      <w:proofErr w:type="gramStart"/>
      <w:r w:rsidRPr="00062772">
        <w:rPr>
          <w:rFonts w:ascii="Times New Roman" w:eastAsia="Times New Roman" w:hAnsi="Times New Roman" w:cs="Times New Roman"/>
          <w:sz w:val="24"/>
          <w:szCs w:val="24"/>
        </w:rPr>
        <w:t>’.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Overall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, Conway, McNabb and Ashton, and their contributors have produced a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highly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informative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account of over a century’s exploration at a British Lower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Palaeolithic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site. The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 volume will provide an excellent source of reference for scholars of this period in the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detail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of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its technical chapters, particularly those concerned with the geological and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chronological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setting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of the site. My only, and very slight, criticism concerns the rather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pessimistic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comments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on the reconstruction of site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palaeoecology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in the chapter by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Schreve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on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themammalian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fauna. Whilst she is content to view extant species such as fallow deer,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beaver,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and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water vole as ecologically, environmentally and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behaviourally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stable through time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when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developing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inferences of habitat preference and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palaeoenvironment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, extinct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Pleistocene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megafauna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are considered unsuitable for developing such models. Species such as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straight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tusked elephant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Palaeoloxodon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antiquu</w:t>
      </w:r>
      <w:r w:rsidR="00EF2677">
        <w:rPr>
          <w:rFonts w:ascii="Times New Roman" w:eastAsia="Times New Roman" w:hAnsi="Times New Roman" w:cs="Times New Roman"/>
          <w:spacing w:val="15"/>
          <w:sz w:val="24"/>
          <w:szCs w:val="24"/>
        </w:rPr>
        <w:t>s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, the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rhinocerids</w:t>
      </w:r>
      <w:proofErr w:type="spellEnd"/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Stephanorhinus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hemitoechus</w:t>
      </w:r>
      <w:proofErr w:type="spellEnd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 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Stephanorhinus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kirchbergensis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, the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auroch</w:t>
      </w:r>
      <w:proofErr w:type="spellEnd"/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F2677">
        <w:rPr>
          <w:rFonts w:ascii="Times New Roman" w:eastAsia="Times New Roman" w:hAnsi="Times New Roman" w:cs="Times New Roman"/>
          <w:spacing w:val="15"/>
          <w:sz w:val="24"/>
          <w:szCs w:val="24"/>
        </w:rPr>
        <w:t>Bos</w:t>
      </w:r>
      <w:proofErr w:type="spellEnd"/>
      <w:r w:rsidR="00EF2677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proofErr w:type="spellStart"/>
      <w:r w:rsidR="00EF2677">
        <w:rPr>
          <w:rFonts w:ascii="Times New Roman" w:eastAsia="Times New Roman" w:hAnsi="Times New Roman" w:cs="Times New Roman"/>
          <w:spacing w:val="15"/>
          <w:sz w:val="24"/>
          <w:szCs w:val="24"/>
        </w:rPr>
        <w:t>primigenius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, and the giant deer</w:t>
      </w:r>
      <w:r w:rsidR="00EF2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Megaloceros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62772">
        <w:rPr>
          <w:rFonts w:ascii="Times New Roman" w:eastAsia="Times New Roman" w:hAnsi="Times New Roman" w:cs="Times New Roman"/>
          <w:sz w:val="24"/>
          <w:szCs w:val="24"/>
        </w:rPr>
        <w:t>giganteus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128"/>
          <w:szCs w:val="128"/>
        </w:rPr>
      </w:pP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are relegated to providing very general levels of habitat information—the presence of 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absence of grass or trees, rather than such taxa being used to develop working models of </w:t>
      </w:r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community ecology and habitat preference for Pleistocene fauna with no living </w:t>
      </w:r>
      <w:proofErr w:type="spellStart"/>
      <w:proofErr w:type="gramStart"/>
      <w:r w:rsidRPr="00062772">
        <w:rPr>
          <w:rFonts w:ascii="Times New Roman" w:eastAsia="Times New Roman" w:hAnsi="Times New Roman" w:cs="Times New Roman"/>
          <w:spacing w:val="15"/>
          <w:sz w:val="24"/>
          <w:szCs w:val="24"/>
        </w:rPr>
        <w:t>counterpart.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Recent</w:t>
      </w:r>
      <w:proofErr w:type="spellEnd"/>
      <w:proofErr w:type="gram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work by researchers such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as</w:t>
      </w:r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>Haynes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15"/>
          <w:sz w:val="24"/>
          <w:szCs w:val="24"/>
        </w:rPr>
        <w:t xml:space="preserve"> (1991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),</w:t>
      </w:r>
      <w:proofErr w:type="spellStart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Köhler</w:t>
      </w:r>
      <w:proofErr w:type="spellEnd"/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 xml:space="preserve"> ( 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1993and</w:t>
      </w:r>
      <w:r w:rsidRPr="00062772">
        <w:rPr>
          <w:rFonts w:ascii="Times New Roman" w:eastAsia="Times New Roman" w:hAnsi="Times New Roman" w:cs="Times New Roman"/>
          <w:color w:val="000080"/>
          <w:spacing w:val="30"/>
          <w:sz w:val="24"/>
          <w:szCs w:val="24"/>
        </w:rPr>
        <w:t>Plummer &amp; Bishop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62772">
        <w:rPr>
          <w:rFonts w:ascii="Times New Roman" w:eastAsia="Times New Roman" w:hAnsi="Times New Roman" w:cs="Times New Roman"/>
          <w:color w:val="000080"/>
          <w:sz w:val="24"/>
          <w:szCs w:val="24"/>
        </w:rPr>
        <w:t>(1994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 )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indicates that such pessimism may be unfounded. This minor criticism aside,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the</w:t>
      </w:r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Swanscombe</w:t>
      </w:r>
      <w:proofErr w:type="spellEnd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volume remains an excellent presentation of research at a British </w:t>
      </w:r>
      <w:proofErr w:type="spellStart"/>
      <w:r w:rsidRPr="00062772">
        <w:rPr>
          <w:rFonts w:ascii="Times New Roman" w:eastAsia="Times New Roman" w:hAnsi="Times New Roman" w:cs="Times New Roman"/>
          <w:spacing w:val="45"/>
          <w:sz w:val="24"/>
          <w:szCs w:val="24"/>
        </w:rPr>
        <w:t>early</w:t>
      </w:r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hominid</w:t>
      </w:r>
      <w:proofErr w:type="spellEnd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 xml:space="preserve"> site, and one that can be highly recommended both as a source of reference </w:t>
      </w:r>
      <w:proofErr w:type="spellStart"/>
      <w:r w:rsidRPr="00062772">
        <w:rPr>
          <w:rFonts w:ascii="Times New Roman" w:eastAsia="Times New Roman" w:hAnsi="Times New Roman" w:cs="Times New Roman"/>
          <w:spacing w:val="30"/>
          <w:sz w:val="24"/>
          <w:szCs w:val="24"/>
        </w:rPr>
        <w:t>and</w:t>
      </w:r>
      <w:r w:rsidRPr="00062772">
        <w:rPr>
          <w:rFonts w:ascii="Times New Roman" w:eastAsia="Times New Roman" w:hAnsi="Times New Roman" w:cs="Times New Roman"/>
          <w:sz w:val="24"/>
          <w:szCs w:val="24"/>
        </w:rPr>
        <w:t>historical</w:t>
      </w:r>
      <w:proofErr w:type="spellEnd"/>
      <w:r w:rsidRPr="00062772">
        <w:rPr>
          <w:rFonts w:ascii="Times New Roman" w:eastAsia="Times New Roman" w:hAnsi="Times New Roman" w:cs="Times New Roman"/>
          <w:sz w:val="24"/>
          <w:szCs w:val="24"/>
        </w:rPr>
        <w:t xml:space="preserve"> synthesis.405</w:t>
      </w:r>
    </w:p>
    <w:p w:rsidR="00062772" w:rsidRPr="00062772" w:rsidRDefault="00062772" w:rsidP="00062772">
      <w:pPr>
        <w:spacing w:after="0" w:line="240" w:lineRule="auto"/>
        <w:rPr>
          <w:rFonts w:ascii="Times New Roman" w:eastAsia="Times New Roman" w:hAnsi="Times New Roman" w:cs="Times New Roman"/>
          <w:sz w:val="96"/>
          <w:szCs w:val="96"/>
        </w:rPr>
      </w:pPr>
      <w:r w:rsidRPr="00062772">
        <w:rPr>
          <w:rFonts w:ascii="Times New Roman" w:eastAsia="Times New Roman" w:hAnsi="Times New Roman" w:cs="Times New Roman"/>
          <w:sz w:val="96"/>
          <w:szCs w:val="96"/>
        </w:rPr>
        <w:lastRenderedPageBreak/>
        <w:t> </w:t>
      </w:r>
    </w:p>
    <w:p w:rsidR="00062772" w:rsidRDefault="008B5061">
      <w:r>
        <w:rPr>
          <w:noProof/>
        </w:rPr>
        <w:drawing>
          <wp:inline distT="0" distB="0" distL="0" distR="0">
            <wp:extent cx="6400800" cy="4862727"/>
            <wp:effectExtent l="0" t="0" r="0" b="0"/>
            <wp:docPr id="3" name="Picture 3" descr="http://www.megalithic.co.uk/a558/a312/gallery/England/kent/antiquityofman00keit_0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egalithic.co.uk/a558/a312/gallery/England/kent/antiquityofman00keit_019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061" w:rsidRDefault="008B5061"/>
    <w:sectPr w:rsidR="008B506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72"/>
    <w:rsid w:val="0000162B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62047"/>
    <w:rsid w:val="00062442"/>
    <w:rsid w:val="00062772"/>
    <w:rsid w:val="00065636"/>
    <w:rsid w:val="00065DB6"/>
    <w:rsid w:val="00067A3C"/>
    <w:rsid w:val="00073BC0"/>
    <w:rsid w:val="00074369"/>
    <w:rsid w:val="000744B6"/>
    <w:rsid w:val="00084668"/>
    <w:rsid w:val="00085949"/>
    <w:rsid w:val="000901AC"/>
    <w:rsid w:val="00091FDA"/>
    <w:rsid w:val="00094A49"/>
    <w:rsid w:val="000A0621"/>
    <w:rsid w:val="000A4AB8"/>
    <w:rsid w:val="000A5A22"/>
    <w:rsid w:val="000A6D55"/>
    <w:rsid w:val="000A71E4"/>
    <w:rsid w:val="000C43B8"/>
    <w:rsid w:val="000D0764"/>
    <w:rsid w:val="000E16B1"/>
    <w:rsid w:val="000E2D48"/>
    <w:rsid w:val="000F0EE4"/>
    <w:rsid w:val="000F35A2"/>
    <w:rsid w:val="000F49D3"/>
    <w:rsid w:val="000F58F1"/>
    <w:rsid w:val="0011027E"/>
    <w:rsid w:val="00113007"/>
    <w:rsid w:val="0011700F"/>
    <w:rsid w:val="0013010C"/>
    <w:rsid w:val="00130887"/>
    <w:rsid w:val="00135862"/>
    <w:rsid w:val="0014709E"/>
    <w:rsid w:val="001477EE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F6F"/>
    <w:rsid w:val="001B569F"/>
    <w:rsid w:val="001B6E29"/>
    <w:rsid w:val="001D1968"/>
    <w:rsid w:val="001E0729"/>
    <w:rsid w:val="001E1722"/>
    <w:rsid w:val="001E2105"/>
    <w:rsid w:val="001E2847"/>
    <w:rsid w:val="001E334D"/>
    <w:rsid w:val="001E365E"/>
    <w:rsid w:val="001E7ED1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A0F6C"/>
    <w:rsid w:val="002A25A3"/>
    <w:rsid w:val="002A538B"/>
    <w:rsid w:val="002D29B3"/>
    <w:rsid w:val="002D5F9A"/>
    <w:rsid w:val="002E2F00"/>
    <w:rsid w:val="002F1594"/>
    <w:rsid w:val="002F333C"/>
    <w:rsid w:val="002F6BFE"/>
    <w:rsid w:val="00304226"/>
    <w:rsid w:val="00306932"/>
    <w:rsid w:val="0031028B"/>
    <w:rsid w:val="00316204"/>
    <w:rsid w:val="00321B6F"/>
    <w:rsid w:val="00333C95"/>
    <w:rsid w:val="003348D7"/>
    <w:rsid w:val="0033719E"/>
    <w:rsid w:val="003377A2"/>
    <w:rsid w:val="00337D59"/>
    <w:rsid w:val="00345038"/>
    <w:rsid w:val="00347898"/>
    <w:rsid w:val="00354F08"/>
    <w:rsid w:val="00360FBB"/>
    <w:rsid w:val="0037637F"/>
    <w:rsid w:val="00392FB8"/>
    <w:rsid w:val="003A1F5E"/>
    <w:rsid w:val="003A3650"/>
    <w:rsid w:val="003A7AEC"/>
    <w:rsid w:val="003B0283"/>
    <w:rsid w:val="003B1BBA"/>
    <w:rsid w:val="003B2EA8"/>
    <w:rsid w:val="003C26AE"/>
    <w:rsid w:val="003D043E"/>
    <w:rsid w:val="003D350A"/>
    <w:rsid w:val="003D718A"/>
    <w:rsid w:val="003E11EF"/>
    <w:rsid w:val="003E532C"/>
    <w:rsid w:val="003E579F"/>
    <w:rsid w:val="003E6978"/>
    <w:rsid w:val="003F05AF"/>
    <w:rsid w:val="0040056B"/>
    <w:rsid w:val="004133B9"/>
    <w:rsid w:val="004148F0"/>
    <w:rsid w:val="00414AC3"/>
    <w:rsid w:val="004152F1"/>
    <w:rsid w:val="00415551"/>
    <w:rsid w:val="00417D50"/>
    <w:rsid w:val="00425A56"/>
    <w:rsid w:val="00425F3E"/>
    <w:rsid w:val="00430179"/>
    <w:rsid w:val="0043232E"/>
    <w:rsid w:val="0044288D"/>
    <w:rsid w:val="004437F0"/>
    <w:rsid w:val="004438A1"/>
    <w:rsid w:val="00446D98"/>
    <w:rsid w:val="0045385F"/>
    <w:rsid w:val="00454BD4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91C3E"/>
    <w:rsid w:val="004A26C9"/>
    <w:rsid w:val="004B0915"/>
    <w:rsid w:val="004B1039"/>
    <w:rsid w:val="004B4047"/>
    <w:rsid w:val="004C7A27"/>
    <w:rsid w:val="004D5F70"/>
    <w:rsid w:val="004E4F31"/>
    <w:rsid w:val="004E6DB0"/>
    <w:rsid w:val="004E70BC"/>
    <w:rsid w:val="004F7A42"/>
    <w:rsid w:val="00502CB4"/>
    <w:rsid w:val="00507034"/>
    <w:rsid w:val="0052225D"/>
    <w:rsid w:val="0053246E"/>
    <w:rsid w:val="00532A62"/>
    <w:rsid w:val="00534E07"/>
    <w:rsid w:val="00534FF2"/>
    <w:rsid w:val="00542F63"/>
    <w:rsid w:val="005447BB"/>
    <w:rsid w:val="005466F8"/>
    <w:rsid w:val="005476E6"/>
    <w:rsid w:val="0055596A"/>
    <w:rsid w:val="005574A2"/>
    <w:rsid w:val="00567AC6"/>
    <w:rsid w:val="005712DD"/>
    <w:rsid w:val="00571722"/>
    <w:rsid w:val="00577D40"/>
    <w:rsid w:val="00577D4F"/>
    <w:rsid w:val="00581A25"/>
    <w:rsid w:val="0058549A"/>
    <w:rsid w:val="00590B9E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6514"/>
    <w:rsid w:val="006071F9"/>
    <w:rsid w:val="00617980"/>
    <w:rsid w:val="00623989"/>
    <w:rsid w:val="00630740"/>
    <w:rsid w:val="00642001"/>
    <w:rsid w:val="006463A4"/>
    <w:rsid w:val="00650ED2"/>
    <w:rsid w:val="0066580B"/>
    <w:rsid w:val="006706A0"/>
    <w:rsid w:val="00684CBC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27452"/>
    <w:rsid w:val="007344D3"/>
    <w:rsid w:val="00740F00"/>
    <w:rsid w:val="0075260E"/>
    <w:rsid w:val="007671F8"/>
    <w:rsid w:val="007809E9"/>
    <w:rsid w:val="0078589C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0305E"/>
    <w:rsid w:val="0081005B"/>
    <w:rsid w:val="008102F6"/>
    <w:rsid w:val="00813DAE"/>
    <w:rsid w:val="00814E42"/>
    <w:rsid w:val="00821D2A"/>
    <w:rsid w:val="00830214"/>
    <w:rsid w:val="0083480A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7AF4"/>
    <w:rsid w:val="008B5061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5C53"/>
    <w:rsid w:val="00955D64"/>
    <w:rsid w:val="0096275C"/>
    <w:rsid w:val="00975627"/>
    <w:rsid w:val="00976D01"/>
    <w:rsid w:val="0098066C"/>
    <w:rsid w:val="009876BC"/>
    <w:rsid w:val="00987EA8"/>
    <w:rsid w:val="009909DD"/>
    <w:rsid w:val="00993A5A"/>
    <w:rsid w:val="009A6A2A"/>
    <w:rsid w:val="009B070F"/>
    <w:rsid w:val="009C2C0F"/>
    <w:rsid w:val="009E10B5"/>
    <w:rsid w:val="009F1E61"/>
    <w:rsid w:val="009F4A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54503"/>
    <w:rsid w:val="00A6107D"/>
    <w:rsid w:val="00A655E1"/>
    <w:rsid w:val="00A746F5"/>
    <w:rsid w:val="00A8168A"/>
    <w:rsid w:val="00A93E33"/>
    <w:rsid w:val="00AA413C"/>
    <w:rsid w:val="00AB06EA"/>
    <w:rsid w:val="00AB7332"/>
    <w:rsid w:val="00AC785E"/>
    <w:rsid w:val="00AD55D6"/>
    <w:rsid w:val="00AE2515"/>
    <w:rsid w:val="00AE5A7E"/>
    <w:rsid w:val="00AF664F"/>
    <w:rsid w:val="00AF7F52"/>
    <w:rsid w:val="00B048CC"/>
    <w:rsid w:val="00B07AE5"/>
    <w:rsid w:val="00B10903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D75E2"/>
    <w:rsid w:val="00BF65DF"/>
    <w:rsid w:val="00C26AB0"/>
    <w:rsid w:val="00C34029"/>
    <w:rsid w:val="00C4210B"/>
    <w:rsid w:val="00C5093F"/>
    <w:rsid w:val="00C535F8"/>
    <w:rsid w:val="00C538C9"/>
    <w:rsid w:val="00C53E08"/>
    <w:rsid w:val="00C56D1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B6B17"/>
    <w:rsid w:val="00CB76D1"/>
    <w:rsid w:val="00CE4E9C"/>
    <w:rsid w:val="00CE53CB"/>
    <w:rsid w:val="00CF6CBD"/>
    <w:rsid w:val="00D01B0E"/>
    <w:rsid w:val="00D102D5"/>
    <w:rsid w:val="00D1334D"/>
    <w:rsid w:val="00D13429"/>
    <w:rsid w:val="00D162F1"/>
    <w:rsid w:val="00D16FC5"/>
    <w:rsid w:val="00D22F09"/>
    <w:rsid w:val="00D4486D"/>
    <w:rsid w:val="00D479DB"/>
    <w:rsid w:val="00D73DC3"/>
    <w:rsid w:val="00D76238"/>
    <w:rsid w:val="00D81190"/>
    <w:rsid w:val="00D95765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264FF"/>
    <w:rsid w:val="00E31BC0"/>
    <w:rsid w:val="00E42753"/>
    <w:rsid w:val="00E577B7"/>
    <w:rsid w:val="00E612D2"/>
    <w:rsid w:val="00E65ADA"/>
    <w:rsid w:val="00E75408"/>
    <w:rsid w:val="00E85105"/>
    <w:rsid w:val="00E9254F"/>
    <w:rsid w:val="00E95886"/>
    <w:rsid w:val="00EA64EF"/>
    <w:rsid w:val="00EC0A59"/>
    <w:rsid w:val="00EC2995"/>
    <w:rsid w:val="00ED5DAF"/>
    <w:rsid w:val="00ED738C"/>
    <w:rsid w:val="00EE08A4"/>
    <w:rsid w:val="00EF2677"/>
    <w:rsid w:val="00EF737E"/>
    <w:rsid w:val="00F10BD0"/>
    <w:rsid w:val="00F10CBE"/>
    <w:rsid w:val="00F1551D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6A7D"/>
    <w:rsid w:val="00F91875"/>
    <w:rsid w:val="00F938E4"/>
    <w:rsid w:val="00F93A95"/>
    <w:rsid w:val="00FA193D"/>
    <w:rsid w:val="00FA2A87"/>
    <w:rsid w:val="00FA6561"/>
    <w:rsid w:val="00FB6F43"/>
    <w:rsid w:val="00FC04F9"/>
    <w:rsid w:val="00FC7F1B"/>
    <w:rsid w:val="00FD1028"/>
    <w:rsid w:val="00FD1926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7BD"/>
  <w15:chartTrackingRefBased/>
  <w15:docId w15:val="{A5E8B614-EEC0-4EEC-A1AC-A57319ED2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2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">
    <w:name w:val="a"/>
    <w:basedOn w:val="DefaultParagraphFont"/>
    <w:rsid w:val="00062772"/>
  </w:style>
  <w:style w:type="character" w:customStyle="1" w:styleId="l6">
    <w:name w:val="l6"/>
    <w:basedOn w:val="DefaultParagraphFont"/>
    <w:rsid w:val="00062772"/>
  </w:style>
  <w:style w:type="character" w:customStyle="1" w:styleId="l7">
    <w:name w:val="l7"/>
    <w:basedOn w:val="DefaultParagraphFont"/>
    <w:rsid w:val="00062772"/>
  </w:style>
  <w:style w:type="character" w:customStyle="1" w:styleId="l8">
    <w:name w:val="l8"/>
    <w:basedOn w:val="DefaultParagraphFont"/>
    <w:rsid w:val="00062772"/>
  </w:style>
  <w:style w:type="character" w:customStyle="1" w:styleId="l9">
    <w:name w:val="l9"/>
    <w:basedOn w:val="DefaultParagraphFont"/>
    <w:rsid w:val="00062772"/>
  </w:style>
  <w:style w:type="character" w:customStyle="1" w:styleId="l10">
    <w:name w:val="l10"/>
    <w:basedOn w:val="DefaultParagraphFont"/>
    <w:rsid w:val="00062772"/>
  </w:style>
  <w:style w:type="character" w:customStyle="1" w:styleId="l">
    <w:name w:val="l"/>
    <w:basedOn w:val="DefaultParagraphFont"/>
    <w:rsid w:val="00062772"/>
  </w:style>
  <w:style w:type="character" w:customStyle="1" w:styleId="Heading1Char">
    <w:name w:val="Heading 1 Char"/>
    <w:basedOn w:val="DefaultParagraphFont"/>
    <w:link w:val="Heading1"/>
    <w:uiPriority w:val="9"/>
    <w:rsid w:val="000627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062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4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1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2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9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51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3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7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80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9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2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0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4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3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9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8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56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9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8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0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1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90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9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6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0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4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2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9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03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1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7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95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2016-12-27T05:31:00Z</dcterms:created>
  <dcterms:modified xsi:type="dcterms:W3CDTF">2017-02-19T20:03:00Z</dcterms:modified>
</cp:coreProperties>
</file>