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A62001">
      <w:r>
        <w:t>A127-</w:t>
      </w:r>
      <w:r w:rsidRPr="00D12D95">
        <w:rPr>
          <w:rFonts w:cs="Arial"/>
        </w:rPr>
        <w:t>Eur-Czech Republic-</w:t>
      </w:r>
      <w:r>
        <w:rPr>
          <w:rFonts w:cs="Arial"/>
        </w:rPr>
        <w:t>Moravia-</w:t>
      </w:r>
      <w:r w:rsidRPr="003B4B2B">
        <w:t>Střelice-</w:t>
      </w:r>
      <w:r w:rsidRPr="003B4B2B">
        <w:rPr>
          <w:color w:val="333333"/>
          <w:shd w:val="clear" w:color="auto" w:fill="F8F8F8"/>
        </w:rPr>
        <w:t>Figurine</w:t>
      </w:r>
      <w:r>
        <w:rPr>
          <w:color w:val="333333"/>
          <w:shd w:val="clear" w:color="auto" w:fill="F8F8F8"/>
        </w:rPr>
        <w:t>-Female-Venus-</w:t>
      </w:r>
      <w:r w:rsidRPr="00D12D95">
        <w:t>Ceramic</w:t>
      </w:r>
    </w:p>
    <w:p w:rsidR="00A62001" w:rsidRDefault="00A62001">
      <w:r>
        <w:rPr>
          <w:noProof/>
        </w:rPr>
        <w:drawing>
          <wp:inline distT="0" distB="0" distL="0" distR="0" wp14:anchorId="5FED82B9" wp14:editId="76BD1949">
            <wp:extent cx="3372928" cy="1383765"/>
            <wp:effectExtent l="381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16200000">
                      <a:off x="0" y="0"/>
                      <a:ext cx="3377031" cy="1385448"/>
                    </a:xfrm>
                    <a:prstGeom prst="rect">
                      <a:avLst/>
                    </a:prstGeom>
                  </pic:spPr>
                </pic:pic>
              </a:graphicData>
            </a:graphic>
          </wp:inline>
        </w:drawing>
      </w:r>
      <w:r w:rsidRPr="00A62001">
        <w:rPr>
          <w:noProof/>
        </w:rPr>
        <w:t xml:space="preserve"> </w:t>
      </w:r>
      <w:r>
        <w:rPr>
          <w:noProof/>
        </w:rPr>
        <w:drawing>
          <wp:inline distT="0" distB="0" distL="0" distR="0" wp14:anchorId="19FBC385" wp14:editId="0AC92EBD">
            <wp:extent cx="1676994" cy="33716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87496" cy="3392793"/>
                    </a:xfrm>
                    <a:prstGeom prst="rect">
                      <a:avLst/>
                    </a:prstGeom>
                  </pic:spPr>
                </pic:pic>
              </a:graphicData>
            </a:graphic>
          </wp:inline>
        </w:drawing>
      </w:r>
      <w:r w:rsidRPr="00A62001">
        <w:rPr>
          <w:noProof/>
        </w:rPr>
        <w:t xml:space="preserve"> </w:t>
      </w:r>
      <w:r>
        <w:rPr>
          <w:noProof/>
        </w:rPr>
        <w:drawing>
          <wp:inline distT="0" distB="0" distL="0" distR="0" wp14:anchorId="46D3AA71" wp14:editId="41EE8C5C">
            <wp:extent cx="1541399" cy="3368156"/>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8729" cy="3384174"/>
                    </a:xfrm>
                    <a:prstGeom prst="rect">
                      <a:avLst/>
                    </a:prstGeom>
                  </pic:spPr>
                </pic:pic>
              </a:graphicData>
            </a:graphic>
          </wp:inline>
        </w:drawing>
      </w:r>
      <w:r>
        <w:rPr>
          <w:noProof/>
        </w:rPr>
        <w:drawing>
          <wp:inline distT="0" distB="0" distL="0" distR="0" wp14:anchorId="533494B9" wp14:editId="118EA8FF">
            <wp:extent cx="1357206" cy="33762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2651" cy="3389805"/>
                    </a:xfrm>
                    <a:prstGeom prst="rect">
                      <a:avLst/>
                    </a:prstGeom>
                  </pic:spPr>
                </pic:pic>
              </a:graphicData>
            </a:graphic>
          </wp:inline>
        </w:drawing>
      </w:r>
    </w:p>
    <w:p w:rsidR="00A62001" w:rsidRDefault="00A62001" w:rsidP="00A62001">
      <w:pPr>
        <w:spacing w:after="0"/>
        <w:rPr>
          <w:rStyle w:val="Strong"/>
        </w:rPr>
      </w:pPr>
      <w:r>
        <w:rPr>
          <w:rStyle w:val="Strong"/>
        </w:rPr>
        <w:t>Case no.:</w:t>
      </w:r>
      <w:r>
        <w:rPr>
          <w:rStyle w:val="Strong"/>
        </w:rPr>
        <w:t xml:space="preserve"> 1</w:t>
      </w:r>
    </w:p>
    <w:p w:rsidR="00A62001" w:rsidRDefault="00A62001" w:rsidP="00A62001">
      <w:pPr>
        <w:spacing w:after="0"/>
        <w:rPr>
          <w:rStyle w:val="Strong"/>
        </w:rPr>
      </w:pPr>
      <w:r>
        <w:rPr>
          <w:rStyle w:val="Strong"/>
        </w:rPr>
        <w:t>Accession Number:</w:t>
      </w:r>
      <w:r>
        <w:rPr>
          <w:rStyle w:val="Strong"/>
        </w:rPr>
        <w:t xml:space="preserve"> A127</w:t>
      </w:r>
    </w:p>
    <w:p w:rsidR="00A62001" w:rsidRDefault="00A62001" w:rsidP="00A62001">
      <w:pPr>
        <w:spacing w:after="0"/>
        <w:rPr>
          <w:rStyle w:val="Strong"/>
        </w:rPr>
      </w:pPr>
      <w:r>
        <w:rPr>
          <w:rStyle w:val="Strong"/>
        </w:rPr>
        <w:t>Formal Label:</w:t>
      </w:r>
      <w:r>
        <w:rPr>
          <w:rStyle w:val="Strong"/>
        </w:rPr>
        <w:t xml:space="preserve"> </w:t>
      </w:r>
      <w:r w:rsidRPr="00D12D95">
        <w:rPr>
          <w:rFonts w:cs="Arial"/>
        </w:rPr>
        <w:t>Eur-Czech Republic-</w:t>
      </w:r>
      <w:r>
        <w:rPr>
          <w:rFonts w:cs="Arial"/>
        </w:rPr>
        <w:t>Moravia-</w:t>
      </w:r>
      <w:r w:rsidRPr="003B4B2B">
        <w:t>Střelice-</w:t>
      </w:r>
      <w:r w:rsidRPr="003B4B2B">
        <w:rPr>
          <w:color w:val="333333"/>
          <w:shd w:val="clear" w:color="auto" w:fill="F8F8F8"/>
        </w:rPr>
        <w:t>Figurine</w:t>
      </w:r>
      <w:r>
        <w:rPr>
          <w:color w:val="333333"/>
          <w:shd w:val="clear" w:color="auto" w:fill="F8F8F8"/>
        </w:rPr>
        <w:t>-Female-Venus-</w:t>
      </w:r>
      <w:r w:rsidRPr="00D12D95">
        <w:t>Ceramic</w:t>
      </w:r>
    </w:p>
    <w:p w:rsidR="00A62001" w:rsidRPr="00D12D95" w:rsidRDefault="00A62001" w:rsidP="00A62001">
      <w:pPr>
        <w:rPr>
          <w:b/>
          <w:bCs/>
        </w:rPr>
      </w:pPr>
      <w:r w:rsidRPr="00212AE9">
        <w:t xml:space="preserve">Střelice </w:t>
      </w:r>
      <w:r>
        <w:t>Moravian ceramic f</w:t>
      </w:r>
      <w:r w:rsidRPr="00212AE9">
        <w:t>igurines</w:t>
      </w:r>
      <w:r>
        <w:t>,</w:t>
      </w:r>
      <w:r w:rsidRPr="00212AE9">
        <w:t xml:space="preserve"> such as this one</w:t>
      </w:r>
      <w:r>
        <w:t>,</w:t>
      </w:r>
      <w:r w:rsidRPr="00212AE9">
        <w:t xml:space="preserve"> </w:t>
      </w:r>
      <w:r>
        <w:t>were</w:t>
      </w:r>
      <w:r w:rsidRPr="00212AE9">
        <w:t xml:space="preserve"> </w:t>
      </w:r>
      <w:r>
        <w:t>located</w:t>
      </w:r>
      <w:r w:rsidRPr="00212AE9">
        <w:t xml:space="preserve"> in the context of habitations</w:t>
      </w:r>
      <w:r>
        <w:t xml:space="preserve"> (notably near hearths, see </w:t>
      </w:r>
      <w:r w:rsidRPr="0080178B">
        <w:t>Sázelová 2008</w:t>
      </w:r>
      <w:r>
        <w:t>)</w:t>
      </w:r>
      <w:r w:rsidRPr="00212AE9">
        <w:t xml:space="preserve"> in settled areas in large reoccupied sites near agricultural resources</w:t>
      </w:r>
      <w:r>
        <w:t xml:space="preserve"> (</w:t>
      </w:r>
      <w:r w:rsidRPr="0080178B">
        <w:t>Čižmář</w:t>
      </w:r>
      <w:r>
        <w:t xml:space="preserve"> et alii </w:t>
      </w:r>
      <w:r w:rsidRPr="0080178B">
        <w:t>2008</w:t>
      </w:r>
      <w:r>
        <w:t>), which near this site is still being farmed today</w:t>
      </w:r>
      <w:r w:rsidRPr="00212AE9">
        <w:t>. A very conservative figural grammar</w:t>
      </w:r>
      <w:r>
        <w:t xml:space="preserve"> (Humpolová and Podborský</w:t>
      </w:r>
      <w:r w:rsidRPr="0080178B">
        <w:t xml:space="preserve"> 2013</w:t>
      </w:r>
      <w:r>
        <w:t xml:space="preserve">) </w:t>
      </w:r>
      <w:r w:rsidRPr="00212AE9">
        <w:t>was evidently sustained for many generations based on C</w:t>
      </w:r>
      <w:r w:rsidRPr="00212AE9">
        <w:rPr>
          <w:vertAlign w:val="superscript"/>
        </w:rPr>
        <w:t>14</w:t>
      </w:r>
      <w:r w:rsidRPr="00212AE9">
        <w:t xml:space="preserve"> data</w:t>
      </w:r>
      <w:r>
        <w:t xml:space="preserve"> (</w:t>
      </w:r>
      <w:r w:rsidRPr="0080178B">
        <w:t>Kuča</w:t>
      </w:r>
      <w:r>
        <w:t xml:space="preserve"> 2012, 2011)</w:t>
      </w:r>
      <w:r w:rsidRPr="007A7EDA">
        <w:rPr>
          <w:bCs/>
        </w:rPr>
        <w:t xml:space="preserve">. </w:t>
      </w:r>
      <w:r>
        <w:rPr>
          <w:bCs/>
        </w:rPr>
        <w:t>This figure has been fractured, probably in antiquity:</w:t>
      </w:r>
      <w:r w:rsidR="00711E51">
        <w:rPr>
          <w:bCs/>
        </w:rPr>
        <w:t xml:space="preserve"> </w:t>
      </w:r>
      <w:r>
        <w:rPr>
          <w:bCs/>
        </w:rPr>
        <w:t xml:space="preserve">right </w:t>
      </w:r>
      <w:r w:rsidR="00711E51">
        <w:rPr>
          <w:bCs/>
        </w:rPr>
        <w:t xml:space="preserve">and left </w:t>
      </w:r>
      <w:r>
        <w:rPr>
          <w:bCs/>
        </w:rPr>
        <w:t>arm</w:t>
      </w:r>
      <w:r w:rsidR="00711E51">
        <w:rPr>
          <w:bCs/>
        </w:rPr>
        <w:t>s</w:t>
      </w:r>
      <w:r>
        <w:rPr>
          <w:bCs/>
        </w:rPr>
        <w:t xml:space="preserve"> and both legs are missing. </w:t>
      </w:r>
      <w:r w:rsidR="00711E51">
        <w:rPr>
          <w:bCs/>
        </w:rPr>
        <w:t xml:space="preserve">He hair was carefully combed back but a piece is missing from her left neck area. Fragmentation in these figurines may imply that the power of the figurine has been broken as it really was mirroring a real person.  </w:t>
      </w:r>
      <w:r w:rsidR="00711E51">
        <w:rPr>
          <w:rStyle w:val="Emphasis"/>
        </w:rPr>
        <w:t>Fragmentation in Archaeology</w:t>
      </w:r>
      <w:r w:rsidR="00711E51">
        <w:t xml:space="preserve"> </w:t>
      </w:r>
      <w:r w:rsidR="00711E51">
        <w:t>probes how</w:t>
      </w:r>
      <w:r w:rsidR="00711E51">
        <w:t xml:space="preserve"> material culture</w:t>
      </w:r>
      <w:r w:rsidR="00711E51">
        <w:t xml:space="preserve"> being submitted to</w:t>
      </w:r>
      <w:r w:rsidR="00711E51">
        <w:t xml:space="preserve"> deliberate physical fragmentation </w:t>
      </w:r>
      <w:r w:rsidR="00711E51">
        <w:t xml:space="preserve">and </w:t>
      </w:r>
      <w:r w:rsidR="00711E51">
        <w:t>often structured</w:t>
      </w:r>
      <w:r w:rsidR="00711E51">
        <w:t xml:space="preserve"> </w:t>
      </w:r>
      <w:r w:rsidR="00711E51">
        <w:t>deposition</w:t>
      </w:r>
      <w:r w:rsidR="00711E51">
        <w:t xml:space="preserve"> is basic to </w:t>
      </w:r>
      <w:r w:rsidR="00711E51">
        <w:t>Mesolithic, Neolithic and Copper Age Central and Eastern Europe</w:t>
      </w:r>
      <w:r w:rsidR="006E7A03">
        <w:t>an figurines that has a sexual component to their being created. Figurines</w:t>
      </w:r>
      <w:r w:rsidR="00711E51">
        <w:t xml:space="preserve"> from the Balkans </w:t>
      </w:r>
      <w:r w:rsidR="006E7A03">
        <w:t xml:space="preserve">reveals how mass </w:t>
      </w:r>
      <w:r w:rsidR="00711E51">
        <w:t xml:space="preserve">deposition </w:t>
      </w:r>
      <w:r w:rsidR="006E7A03">
        <w:t xml:space="preserve">od figurines </w:t>
      </w:r>
      <w:r w:rsidR="00711E51">
        <w:t xml:space="preserve">in pits </w:t>
      </w:r>
      <w:r w:rsidR="006E7A03">
        <w:t xml:space="preserve">indicate the removal of families from disused habitations and the practice of buring these figurines within these domains (Chapman 2012) </w:t>
      </w:r>
    </w:p>
    <w:p w:rsidR="00A62001" w:rsidRPr="003B4B2B" w:rsidRDefault="00A62001" w:rsidP="00A62001">
      <w:pPr>
        <w:pStyle w:val="Heading3"/>
        <w:spacing w:before="0" w:beforeAutospacing="0" w:after="0" w:afterAutospacing="0"/>
        <w:rPr>
          <w:b w:val="0"/>
          <w:sz w:val="24"/>
          <w:szCs w:val="24"/>
        </w:rPr>
      </w:pPr>
      <w:r w:rsidRPr="002F78CE">
        <w:rPr>
          <w:rStyle w:val="Strong"/>
          <w:sz w:val="24"/>
          <w:szCs w:val="24"/>
        </w:rPr>
        <w:t>Accession Number</w:t>
      </w:r>
      <w:r w:rsidRPr="003B4B2B">
        <w:rPr>
          <w:rStyle w:val="Strong"/>
          <w:sz w:val="24"/>
          <w:szCs w:val="24"/>
        </w:rPr>
        <w:t>:</w:t>
      </w:r>
      <w:r w:rsidRPr="003B4B2B">
        <w:rPr>
          <w:b w:val="0"/>
          <w:sz w:val="24"/>
          <w:szCs w:val="24"/>
        </w:rPr>
        <w:t xml:space="preserve"> A</w:t>
      </w:r>
      <w:r>
        <w:rPr>
          <w:b w:val="0"/>
          <w:sz w:val="24"/>
          <w:szCs w:val="24"/>
        </w:rPr>
        <w:t>12</w:t>
      </w:r>
      <w:r w:rsidR="00202775">
        <w:rPr>
          <w:b w:val="0"/>
          <w:sz w:val="24"/>
          <w:szCs w:val="24"/>
        </w:rPr>
        <w:t>7</w:t>
      </w:r>
    </w:p>
    <w:p w:rsidR="00A62001" w:rsidRPr="003B4B2B" w:rsidRDefault="00A62001" w:rsidP="00A62001">
      <w:pPr>
        <w:pStyle w:val="Heading3"/>
        <w:spacing w:before="0" w:beforeAutospacing="0" w:after="0" w:afterAutospacing="0"/>
        <w:rPr>
          <w:rStyle w:val="Strong"/>
          <w:sz w:val="24"/>
          <w:szCs w:val="24"/>
        </w:rPr>
      </w:pPr>
      <w:r w:rsidRPr="003B4B2B">
        <w:rPr>
          <w:sz w:val="24"/>
          <w:szCs w:val="24"/>
        </w:rPr>
        <w:t xml:space="preserve">LC Classification: </w:t>
      </w:r>
      <w:r w:rsidRPr="003B4B2B">
        <w:rPr>
          <w:rStyle w:val="exlavailabilitycallnumber"/>
          <w:rFonts w:cs="Arial"/>
          <w:b w:val="0"/>
          <w:color w:val="000000"/>
          <w:sz w:val="24"/>
          <w:szCs w:val="24"/>
          <w:shd w:val="clear" w:color="auto" w:fill="FFFFFF"/>
        </w:rPr>
        <w:t>GN772</w:t>
      </w:r>
    </w:p>
    <w:p w:rsidR="00A62001" w:rsidRDefault="00A62001" w:rsidP="00A62001">
      <w:r w:rsidRPr="003B4B2B">
        <w:rPr>
          <w:rStyle w:val="Strong"/>
        </w:rPr>
        <w:t>Date or Time Horizon:</w:t>
      </w:r>
      <w:r w:rsidRPr="003B4B2B">
        <w:t xml:space="preserve"> </w:t>
      </w:r>
      <w:r>
        <w:t>4,850 BCE-4,450 BCE</w:t>
      </w:r>
    </w:p>
    <w:p w:rsidR="00A62001" w:rsidRDefault="00A62001" w:rsidP="00A62001">
      <w:r w:rsidRPr="003B4B2B">
        <w:rPr>
          <w:rStyle w:val="Strong"/>
        </w:rPr>
        <w:t>Geographical</w:t>
      </w:r>
      <w:r>
        <w:rPr>
          <w:rStyle w:val="Strong"/>
        </w:rPr>
        <w:t xml:space="preserve"> Area:</w:t>
      </w:r>
      <w:r>
        <w:t xml:space="preserve"> </w:t>
      </w:r>
      <w:r w:rsidRPr="003B4B2B">
        <w:t xml:space="preserve">Czech </w:t>
      </w:r>
      <w:r w:rsidRPr="003B4B2B">
        <w:rPr>
          <w:rFonts w:cs="Arial"/>
          <w:bCs/>
          <w:szCs w:val="20"/>
        </w:rPr>
        <w:t>Republic, Moravia,</w:t>
      </w:r>
      <w:r w:rsidRPr="003B4B2B">
        <w:rPr>
          <w:rStyle w:val="Strong"/>
        </w:rPr>
        <w:t xml:space="preserve"> </w:t>
      </w:r>
      <w:r w:rsidRPr="003B4B2B">
        <w:t>Střelice</w:t>
      </w:r>
    </w:p>
    <w:p w:rsidR="00A62001" w:rsidRPr="00EF25AA" w:rsidRDefault="00A62001" w:rsidP="00A62001">
      <w:pPr>
        <w:rPr>
          <w:color w:val="000000" w:themeColor="text1"/>
        </w:rPr>
      </w:pPr>
      <w:r w:rsidRPr="00253390">
        <w:rPr>
          <w:rStyle w:val="Strong"/>
          <w:color w:val="000000" w:themeColor="text1"/>
        </w:rPr>
        <w:t>Map, GPS Coordinates:</w:t>
      </w:r>
      <w:r w:rsidRPr="00253390">
        <w:rPr>
          <w:color w:val="000000" w:themeColor="text1"/>
        </w:rPr>
        <w:t xml:space="preserve"> </w:t>
      </w:r>
      <w:r w:rsidRPr="00C57C13">
        <w:rPr>
          <w:color w:val="000000" w:themeColor="text1"/>
        </w:rPr>
        <w:t>48.89567 16</w:t>
      </w:r>
      <w:r w:rsidRPr="00EF25AA">
        <w:rPr>
          <w:color w:val="000000" w:themeColor="text1"/>
        </w:rPr>
        <w:t xml:space="preserve">.13701, </w:t>
      </w:r>
      <w:r w:rsidRPr="00EF25AA">
        <w:t>40° 26' 46" N 79° 58' 56" W</w:t>
      </w:r>
    </w:p>
    <w:p w:rsidR="00A62001" w:rsidRPr="00253390" w:rsidRDefault="00A62001" w:rsidP="00A62001">
      <w:pPr>
        <w:rPr>
          <w:color w:val="000000" w:themeColor="text1"/>
        </w:rPr>
      </w:pPr>
    </w:p>
    <w:p w:rsidR="00A62001" w:rsidRPr="00253390" w:rsidRDefault="00A62001" w:rsidP="00A62001">
      <w:pPr>
        <w:rPr>
          <w:noProof/>
          <w:color w:val="000000" w:themeColor="text1"/>
        </w:rPr>
      </w:pPr>
      <w:r w:rsidRPr="00253390">
        <w:rPr>
          <w:noProof/>
          <w:color w:val="000000" w:themeColor="text1"/>
        </w:rPr>
        <w:lastRenderedPageBreak/>
        <w:drawing>
          <wp:inline distT="0" distB="0" distL="0" distR="0" wp14:anchorId="24FEAB2E" wp14:editId="58F9BB4E">
            <wp:extent cx="206692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6925" cy="2619375"/>
                    </a:xfrm>
                    <a:prstGeom prst="rect">
                      <a:avLst/>
                    </a:prstGeom>
                  </pic:spPr>
                </pic:pic>
              </a:graphicData>
            </a:graphic>
          </wp:inline>
        </w:drawing>
      </w:r>
      <w:r w:rsidRPr="00253390">
        <w:rPr>
          <w:noProof/>
          <w:color w:val="000000" w:themeColor="text1"/>
        </w:rPr>
        <w:t xml:space="preserve"> </w:t>
      </w:r>
      <w:r w:rsidRPr="00253390">
        <w:rPr>
          <w:noProof/>
          <w:color w:val="000000" w:themeColor="text1"/>
        </w:rPr>
        <w:drawing>
          <wp:inline distT="0" distB="0" distL="0" distR="0" wp14:anchorId="7F9396FE" wp14:editId="5C14918C">
            <wp:extent cx="2650567"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253" cy="2642475"/>
                    </a:xfrm>
                    <a:prstGeom prst="rect">
                      <a:avLst/>
                    </a:prstGeom>
                  </pic:spPr>
                </pic:pic>
              </a:graphicData>
            </a:graphic>
          </wp:inline>
        </w:drawing>
      </w:r>
    </w:p>
    <w:p w:rsidR="00A62001" w:rsidRPr="00253390" w:rsidRDefault="00A62001" w:rsidP="00A62001">
      <w:pPr>
        <w:rPr>
          <w:color w:val="000000" w:themeColor="text1"/>
        </w:rPr>
      </w:pPr>
      <w:r>
        <w:rPr>
          <w:noProof/>
          <w:color w:val="000000" w:themeColor="text1"/>
        </w:rPr>
        <w:t xml:space="preserve">Fig. 2-3. </w:t>
      </w:r>
      <w:r w:rsidRPr="00253390">
        <w:rPr>
          <w:noProof/>
          <w:color w:val="000000" w:themeColor="text1"/>
        </w:rPr>
        <w:t xml:space="preserve">Map of location of Sutnach site at </w:t>
      </w:r>
      <w:r w:rsidRPr="00253390">
        <w:rPr>
          <w:bCs/>
          <w:color w:val="000000" w:themeColor="text1"/>
        </w:rPr>
        <w:t>Těšetice-Kyjovice</w:t>
      </w:r>
      <w:r w:rsidRPr="00253390">
        <w:rPr>
          <w:noProof/>
          <w:color w:val="000000" w:themeColor="text1"/>
        </w:rPr>
        <w:t xml:space="preserve"> from http://latitude.to/img/latitude-logo.svg.</w:t>
      </w:r>
    </w:p>
    <w:p w:rsidR="00A62001" w:rsidRDefault="00A62001" w:rsidP="00A62001">
      <w:pPr>
        <w:rPr>
          <w:b/>
          <w:bCs/>
          <w:color w:val="333333"/>
          <w:szCs w:val="15"/>
          <w:shd w:val="clear" w:color="auto" w:fill="F8F8F8"/>
        </w:rPr>
      </w:pPr>
    </w:p>
    <w:p w:rsidR="00A62001" w:rsidRDefault="00A62001" w:rsidP="00A62001">
      <w:pPr>
        <w:rPr>
          <w:rStyle w:val="Strong"/>
        </w:rPr>
      </w:pPr>
      <w:r>
        <w:rPr>
          <w:rStyle w:val="Strong"/>
        </w:rPr>
        <w:t>Cultural Affiliation:</w:t>
      </w:r>
      <w:r>
        <w:t xml:space="preserve"> Neolithic</w:t>
      </w:r>
    </w:p>
    <w:p w:rsidR="00A62001" w:rsidRDefault="00A62001" w:rsidP="00A62001">
      <w:pPr>
        <w:rPr>
          <w:rStyle w:val="Strong"/>
        </w:rPr>
      </w:pPr>
      <w:r>
        <w:rPr>
          <w:rStyle w:val="Strong"/>
        </w:rPr>
        <w:t>Medium:</w:t>
      </w:r>
      <w:r>
        <w:t xml:space="preserve"> Fired clay.</w:t>
      </w:r>
    </w:p>
    <w:p w:rsidR="00A62001" w:rsidRDefault="00A62001" w:rsidP="00A62001">
      <w:pPr>
        <w:rPr>
          <w:rStyle w:val="Strong"/>
        </w:rPr>
      </w:pPr>
      <w:r>
        <w:rPr>
          <w:rStyle w:val="Strong"/>
        </w:rPr>
        <w:t xml:space="preserve">Dimensions: </w:t>
      </w:r>
    </w:p>
    <w:p w:rsidR="00A62001" w:rsidRDefault="00A62001" w:rsidP="00A62001">
      <w:pPr>
        <w:rPr>
          <w:rStyle w:val="Strong"/>
        </w:rPr>
      </w:pPr>
      <w:r>
        <w:rPr>
          <w:rStyle w:val="Strong"/>
        </w:rPr>
        <w:t xml:space="preserve">Weight:  </w:t>
      </w:r>
    </w:p>
    <w:p w:rsidR="00A62001" w:rsidRDefault="00A62001" w:rsidP="00A62001">
      <w:pPr>
        <w:rPr>
          <w:rStyle w:val="Strong"/>
        </w:rPr>
      </w:pPr>
      <w:r>
        <w:rPr>
          <w:rStyle w:val="Strong"/>
        </w:rPr>
        <w:t xml:space="preserve">Condition: </w:t>
      </w:r>
      <w:r w:rsidRPr="003B4B2B">
        <w:rPr>
          <w:rStyle w:val="Strong"/>
        </w:rPr>
        <w:t>Resin replica of original</w:t>
      </w:r>
      <w:r>
        <w:rPr>
          <w:rStyle w:val="Strong"/>
        </w:rPr>
        <w:t>.</w:t>
      </w:r>
    </w:p>
    <w:p w:rsidR="00A62001" w:rsidRDefault="00A62001" w:rsidP="00A62001">
      <w:pPr>
        <w:rPr>
          <w:b/>
          <w:bCs/>
        </w:rPr>
      </w:pPr>
      <w:r>
        <w:rPr>
          <w:rStyle w:val="Strong"/>
        </w:rPr>
        <w:t>Provenance:</w:t>
      </w:r>
      <w:r>
        <w:t xml:space="preserve"> </w:t>
      </w:r>
      <w:r w:rsidRPr="00B57390">
        <w:rPr>
          <w:rFonts w:cs="Arial"/>
          <w:bCs/>
          <w:szCs w:val="20"/>
        </w:rPr>
        <w:t>Czech Republic, Moravia,</w:t>
      </w:r>
      <w:r w:rsidRPr="00B57390">
        <w:rPr>
          <w:rStyle w:val="Strong"/>
        </w:rPr>
        <w:t xml:space="preserve"> </w:t>
      </w:r>
      <w:r w:rsidRPr="00B57390">
        <w:rPr>
          <w:bCs/>
          <w:color w:val="333333"/>
          <w:szCs w:val="15"/>
          <w:shd w:val="clear" w:color="auto" w:fill="F8F8F8"/>
        </w:rPr>
        <w:t>Střelice</w:t>
      </w:r>
      <w:r>
        <w:rPr>
          <w:bCs/>
          <w:color w:val="333333"/>
          <w:szCs w:val="15"/>
          <w:shd w:val="clear" w:color="auto" w:fill="F8F8F8"/>
        </w:rPr>
        <w:t xml:space="preserve"> Museum.</w:t>
      </w:r>
    </w:p>
    <w:p w:rsidR="00A62001" w:rsidRDefault="00A62001" w:rsidP="00A62001">
      <w:pPr>
        <w:autoSpaceDE w:val="0"/>
        <w:autoSpaceDN w:val="0"/>
        <w:adjustRightInd w:val="0"/>
      </w:pPr>
      <w:r>
        <w:rPr>
          <w:b/>
          <w:bCs/>
        </w:rPr>
        <w:t xml:space="preserve">Discussion: </w:t>
      </w:r>
    </w:p>
    <w:p w:rsidR="00A62001" w:rsidRDefault="00A62001" w:rsidP="00A62001">
      <w:pPr>
        <w:autoSpaceDE w:val="0"/>
        <w:autoSpaceDN w:val="0"/>
        <w:adjustRightInd w:val="0"/>
        <w:ind w:firstLine="720"/>
        <w:rPr>
          <w:b/>
          <w:bCs/>
        </w:rPr>
      </w:pPr>
      <w:r>
        <w:rPr>
          <w:bCs/>
        </w:rPr>
        <w:t xml:space="preserve">The emphasis on small breasts </w:t>
      </w:r>
      <w:r w:rsidR="00202775">
        <w:rPr>
          <w:bCs/>
        </w:rPr>
        <w:t>without</w:t>
      </w:r>
      <w:r>
        <w:rPr>
          <w:bCs/>
        </w:rPr>
        <w:t xml:space="preserve"> a large pelvis suggest that this figurine is associated with a </w:t>
      </w:r>
      <w:r w:rsidR="00202775">
        <w:rPr>
          <w:bCs/>
        </w:rPr>
        <w:t>youth</w:t>
      </w:r>
      <w:r>
        <w:rPr>
          <w:bCs/>
        </w:rPr>
        <w:t xml:space="preserve">, in an age when </w:t>
      </w:r>
      <w:r w:rsidR="00202775">
        <w:rPr>
          <w:bCs/>
        </w:rPr>
        <w:t>young females</w:t>
      </w:r>
      <w:r>
        <w:rPr>
          <w:bCs/>
        </w:rPr>
        <w:t xml:space="preserve"> were expected to have many children.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sidR="00202775">
        <w:rPr>
          <w:b/>
          <w:bCs/>
        </w:rPr>
        <w:t xml:space="preserve">In this case the young female was probably taught the anxiety of developing into a young mother.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w:t>
      </w:r>
    </w:p>
    <w:p w:rsidR="00A62001" w:rsidRDefault="00A62001" w:rsidP="00A62001">
      <w:pPr>
        <w:rPr>
          <w:b/>
          <w:bCs/>
        </w:rPr>
      </w:pPr>
      <w:r>
        <w:rPr>
          <w:b/>
          <w:bCs/>
        </w:rPr>
        <w:t>References:</w:t>
      </w:r>
    </w:p>
    <w:p w:rsidR="006E7A03" w:rsidRPr="006E7A03" w:rsidRDefault="006E7A03" w:rsidP="006E7A03">
      <w:r w:rsidRPr="006E7A03">
        <w:t>Chapman, John. 2012. Fragmentation in Archaeology: People, Places and Broken Objects in the Prehistory of South Eastern Europe</w:t>
      </w:r>
      <w:r>
        <w:t>. London: Routledge.</w:t>
      </w:r>
      <w:r w:rsidRPr="006E7A03">
        <w:t xml:space="preserve"> </w:t>
      </w:r>
      <w:bookmarkStart w:id="0" w:name="_GoBack"/>
      <w:bookmarkEnd w:id="0"/>
    </w:p>
    <w:p w:rsidR="00A62001" w:rsidRPr="00CA1385" w:rsidRDefault="00A62001" w:rsidP="00A62001">
      <w:pPr>
        <w:spacing w:before="100" w:beforeAutospacing="1" w:after="100" w:afterAutospacing="1"/>
        <w:rPr>
          <w:rFonts w:eastAsia="Times New Roman"/>
        </w:rPr>
      </w:pPr>
      <w:r w:rsidRPr="00CA1385">
        <w:rPr>
          <w:rFonts w:eastAsia="Times New Roman"/>
        </w:rPr>
        <w:t>Čižmář, Zdeněk</w:t>
      </w:r>
      <w:r>
        <w:rPr>
          <w:rFonts w:eastAsia="Times New Roman"/>
        </w:rPr>
        <w:t>, ed</w:t>
      </w:r>
      <w:r w:rsidRPr="005B4DD9">
        <w:rPr>
          <w:rFonts w:eastAsia="Times New Roman"/>
          <w:i/>
        </w:rPr>
        <w:t xml:space="preserve">. </w:t>
      </w:r>
      <w:r>
        <w:rPr>
          <w:rFonts w:eastAsia="Times New Roman"/>
        </w:rPr>
        <w:t xml:space="preserve">2008. </w:t>
      </w:r>
      <w:r w:rsidRPr="00CA1385">
        <w:rPr>
          <w:rFonts w:eastAsia="Times New Roman"/>
          <w:i/>
        </w:rPr>
        <w:t>Život a smrt v mladší době kamenné. Katalog výstavy. Leben und Tod in der Jungsteinzeit.</w:t>
      </w:r>
      <w:r w:rsidRPr="00CA1385">
        <w:rPr>
          <w:rFonts w:eastAsia="Times New Roman"/>
        </w:rPr>
        <w:t xml:space="preserve"> </w:t>
      </w:r>
      <w:r>
        <w:rPr>
          <w:rFonts w:eastAsia="Times New Roman"/>
        </w:rPr>
        <w:t>[</w:t>
      </w:r>
      <w:r w:rsidRPr="00CA1385">
        <w:rPr>
          <w:rFonts w:eastAsia="Times New Roman"/>
        </w:rPr>
        <w:t>Life and Death in the New Stone Age.</w:t>
      </w:r>
      <w:r>
        <w:rPr>
          <w:rFonts w:eastAsia="Times New Roman"/>
        </w:rPr>
        <w:t>]</w:t>
      </w:r>
      <w:r w:rsidRPr="00CA1385">
        <w:rPr>
          <w:rFonts w:eastAsia="Times New Roman"/>
        </w:rPr>
        <w:t xml:space="preserve"> Brno</w:t>
      </w:r>
      <w:r>
        <w:rPr>
          <w:rFonts w:eastAsia="Times New Roman"/>
        </w:rPr>
        <w:t>:</w:t>
      </w:r>
      <w:r w:rsidRPr="00CA1385">
        <w:rPr>
          <w:rFonts w:eastAsia="Times New Roman"/>
        </w:rPr>
        <w:t>Ústa</w:t>
      </w:r>
      <w:r>
        <w:rPr>
          <w:rFonts w:eastAsia="Times New Roman"/>
        </w:rPr>
        <w:t xml:space="preserve">v archeologické památkové péče </w:t>
      </w:r>
      <w:r w:rsidRPr="00CA1385">
        <w:rPr>
          <w:rFonts w:eastAsia="Times New Roman"/>
        </w:rPr>
        <w:t>ve spolupráci s Jihomoravskzm muzeem ve Znojmě a Moravským zemským muzeem v Brně.</w:t>
      </w:r>
    </w:p>
    <w:p w:rsidR="00A62001" w:rsidRPr="00CA1385" w:rsidRDefault="00A62001" w:rsidP="00A62001">
      <w:pPr>
        <w:spacing w:before="100" w:beforeAutospacing="1" w:after="100" w:afterAutospacing="1"/>
        <w:rPr>
          <w:rFonts w:eastAsia="Times New Roman"/>
        </w:rPr>
      </w:pPr>
      <w:r>
        <w:rPr>
          <w:rFonts w:eastAsia="Times New Roman"/>
        </w:rPr>
        <w:t xml:space="preserve">Humpolová, Alena and </w:t>
      </w:r>
      <w:r w:rsidRPr="00CA1385">
        <w:rPr>
          <w:rFonts w:eastAsia="Times New Roman"/>
        </w:rPr>
        <w:t>Vladimír</w:t>
      </w:r>
      <w:r>
        <w:rPr>
          <w:rFonts w:eastAsia="Times New Roman"/>
        </w:rPr>
        <w:t xml:space="preserve"> Podborský. 2013.</w:t>
      </w:r>
      <w:r w:rsidRPr="00CA1385">
        <w:rPr>
          <w:rFonts w:eastAsia="Times New Roman"/>
        </w:rPr>
        <w:t xml:space="preserve"> </w:t>
      </w:r>
      <w:r w:rsidRPr="00CA1385">
        <w:rPr>
          <w:rFonts w:eastAsia="Times New Roman"/>
          <w:i/>
        </w:rPr>
        <w:t>To nejlepší z archeologické sbírky Františka Vildomce.</w:t>
      </w:r>
      <w:r w:rsidRPr="00CA1385">
        <w:rPr>
          <w:rFonts w:eastAsia="Times New Roman"/>
        </w:rPr>
        <w:t xml:space="preserve"> </w:t>
      </w:r>
      <w:r>
        <w:rPr>
          <w:rFonts w:eastAsia="Times New Roman"/>
        </w:rPr>
        <w:t>[</w:t>
      </w:r>
      <w:r w:rsidRPr="00CA1385">
        <w:rPr>
          <w:rFonts w:eastAsia="Times New Roman"/>
        </w:rPr>
        <w:t>The Best of the Archaeological Collection of František Vildomec</w:t>
      </w:r>
      <w:r>
        <w:rPr>
          <w:rFonts w:eastAsia="Times New Roman"/>
        </w:rPr>
        <w:t xml:space="preserve">]. </w:t>
      </w:r>
      <w:r w:rsidRPr="00CA1385">
        <w:rPr>
          <w:rFonts w:eastAsia="Times New Roman"/>
        </w:rPr>
        <w:t>Brno</w:t>
      </w:r>
      <w:r>
        <w:rPr>
          <w:rFonts w:eastAsia="Times New Roman"/>
        </w:rPr>
        <w:t>: Moravské zemské muzeum</w:t>
      </w:r>
      <w:r w:rsidRPr="00CA1385">
        <w:rPr>
          <w:rFonts w:eastAsia="Times New Roman"/>
        </w:rPr>
        <w:t>.</w:t>
      </w:r>
    </w:p>
    <w:p w:rsidR="00A62001" w:rsidRPr="00CA1385" w:rsidRDefault="00A62001" w:rsidP="00A62001">
      <w:pPr>
        <w:spacing w:before="100" w:beforeAutospacing="1" w:after="100" w:afterAutospacing="1"/>
        <w:rPr>
          <w:rFonts w:eastAsia="Times New Roman"/>
        </w:rPr>
      </w:pPr>
      <w:r w:rsidRPr="00CA1385">
        <w:rPr>
          <w:rFonts w:eastAsia="Times New Roman"/>
        </w:rPr>
        <w:lastRenderedPageBreak/>
        <w:t>Králík, Miroslav and Novotný, Vladimír</w:t>
      </w:r>
      <w:r>
        <w:rPr>
          <w:rFonts w:eastAsia="Times New Roman"/>
        </w:rPr>
        <w:t>. 2005.</w:t>
      </w:r>
      <w:r w:rsidRPr="00CA1385">
        <w:rPr>
          <w:rFonts w:eastAsia="Times New Roman"/>
        </w:rPr>
        <w:t xml:space="preserve"> Derm</w:t>
      </w:r>
      <w:r>
        <w:rPr>
          <w:rFonts w:eastAsia="Times New Roman"/>
        </w:rPr>
        <w:t xml:space="preserve">atoglyphics of Ancient Ceramics. In: Svoboda Jiří, ed. </w:t>
      </w:r>
      <w:r w:rsidRPr="00CA1385">
        <w:rPr>
          <w:rFonts w:eastAsia="Times New Roman"/>
          <w:i/>
        </w:rPr>
        <w:t xml:space="preserve">Pavlov I Southeast. A Window into the Gravettian </w:t>
      </w:r>
      <w:r w:rsidRPr="008B4680">
        <w:rPr>
          <w:rFonts w:eastAsia="Times New Roman"/>
          <w:i/>
        </w:rPr>
        <w:t>Lifestyles</w:t>
      </w:r>
      <w:r w:rsidRPr="00CA1385">
        <w:rPr>
          <w:rFonts w:eastAsia="Times New Roman"/>
        </w:rPr>
        <w:t xml:space="preserve">. </w:t>
      </w:r>
      <w:r>
        <w:rPr>
          <w:rFonts w:eastAsia="Times New Roman"/>
        </w:rPr>
        <w:t xml:space="preserve">Brno: </w:t>
      </w:r>
      <w:r w:rsidRPr="00CA1385">
        <w:rPr>
          <w:rFonts w:eastAsia="Times New Roman"/>
        </w:rPr>
        <w:t>Academy of Sciences of the Czech Republic, Institute of Archaeology, and</w:t>
      </w:r>
      <w:r>
        <w:rPr>
          <w:rFonts w:eastAsia="Times New Roman"/>
        </w:rPr>
        <w:t xml:space="preserve"> </w:t>
      </w:r>
      <w:r w:rsidRPr="00CA1385">
        <w:rPr>
          <w:rFonts w:eastAsia="Times New Roman"/>
        </w:rPr>
        <w:t>Kraków</w:t>
      </w:r>
      <w:r>
        <w:rPr>
          <w:rFonts w:eastAsia="Times New Roman"/>
        </w:rPr>
        <w:t>:</w:t>
      </w:r>
      <w:r w:rsidRPr="00CA1385">
        <w:rPr>
          <w:rFonts w:eastAsia="Times New Roman"/>
        </w:rPr>
        <w:t xml:space="preserve"> Polish Academy of Sciences, Institute of System</w:t>
      </w:r>
      <w:r>
        <w:rPr>
          <w:rFonts w:eastAsia="Times New Roman"/>
        </w:rPr>
        <w:t xml:space="preserve">atics and Evolution of Animals, </w:t>
      </w:r>
      <w:r w:rsidRPr="00CA1385">
        <w:rPr>
          <w:rFonts w:eastAsia="Times New Roman"/>
        </w:rPr>
        <w:t>Chapter IV.5, pp. 449-430</w:t>
      </w:r>
      <w:r>
        <w:rPr>
          <w:rFonts w:eastAsia="Times New Roman"/>
        </w:rPr>
        <w:t>.</w:t>
      </w:r>
    </w:p>
    <w:p w:rsidR="00A62001" w:rsidRPr="00CA1385" w:rsidRDefault="00A62001" w:rsidP="00A62001">
      <w:pPr>
        <w:spacing w:before="100" w:beforeAutospacing="1" w:after="100" w:afterAutospacing="1"/>
        <w:rPr>
          <w:rFonts w:eastAsia="Times New Roman"/>
        </w:rPr>
      </w:pPr>
      <w:r w:rsidRPr="00CA1385">
        <w:rPr>
          <w:rFonts w:eastAsia="Times New Roman"/>
        </w:rPr>
        <w:t>Kuč</w:t>
      </w:r>
      <w:r>
        <w:rPr>
          <w:rFonts w:eastAsia="Times New Roman"/>
        </w:rPr>
        <w:t>a, Martin,</w:t>
      </w:r>
      <w:r w:rsidRPr="00CA1385">
        <w:rPr>
          <w:rFonts w:eastAsia="Times New Roman"/>
        </w:rPr>
        <w:t xml:space="preserve"> Jan Josef Kovář, Miriam Nývltová Fišáková,</w:t>
      </w:r>
      <w:r>
        <w:rPr>
          <w:rFonts w:eastAsia="Times New Roman"/>
        </w:rPr>
        <w:t xml:space="preserve"> </w:t>
      </w:r>
      <w:r w:rsidRPr="00CA1385">
        <w:rPr>
          <w:rFonts w:eastAsia="Times New Roman"/>
        </w:rPr>
        <w:t xml:space="preserve">Petr Škrdla, Lubomír Prokeš, Miroslav Vaškových, and Zdeněk </w:t>
      </w:r>
      <w:r>
        <w:rPr>
          <w:rFonts w:eastAsia="Times New Roman"/>
        </w:rPr>
        <w:t>Schenk.</w:t>
      </w:r>
      <w:r w:rsidRPr="00CA1385">
        <w:rPr>
          <w:rFonts w:eastAsia="Times New Roman"/>
        </w:rPr>
        <w:t xml:space="preserve"> Chronologie neolitu na Moravě. Předběžné výsledky. </w:t>
      </w:r>
      <w:r>
        <w:rPr>
          <w:rFonts w:eastAsia="Times New Roman"/>
        </w:rPr>
        <w:t xml:space="preserve">2012. [Chronology of the </w:t>
      </w:r>
      <w:r w:rsidRPr="008B4680">
        <w:rPr>
          <w:rFonts w:eastAsia="Times New Roman"/>
        </w:rPr>
        <w:t>Moravian Neoli</w:t>
      </w:r>
      <w:r w:rsidRPr="00CA1385">
        <w:rPr>
          <w:rFonts w:eastAsia="Times New Roman"/>
        </w:rPr>
        <w:t>thic. Preliminary results.</w:t>
      </w:r>
      <w:r>
        <w:rPr>
          <w:rFonts w:eastAsia="Times New Roman"/>
        </w:rPr>
        <w:t>]</w:t>
      </w:r>
      <w:r w:rsidRPr="00CA1385">
        <w:rPr>
          <w:rFonts w:eastAsia="Times New Roman"/>
        </w:rPr>
        <w:t xml:space="preserve"> Přehled výzkumů, 53</w:t>
      </w:r>
      <w:r>
        <w:rPr>
          <w:rFonts w:eastAsia="Times New Roman"/>
        </w:rPr>
        <w:t>(1).</w:t>
      </w:r>
    </w:p>
    <w:p w:rsidR="00A62001" w:rsidRPr="00CA1385" w:rsidRDefault="00A62001" w:rsidP="00A62001">
      <w:pPr>
        <w:spacing w:before="100" w:beforeAutospacing="1" w:after="100" w:afterAutospacing="1"/>
        <w:rPr>
          <w:rFonts w:eastAsia="Times New Roman"/>
        </w:rPr>
      </w:pPr>
      <w:r w:rsidRPr="00CA1385">
        <w:rPr>
          <w:rFonts w:eastAsia="Times New Roman"/>
        </w:rPr>
        <w:t>Kuč</w:t>
      </w:r>
      <w:r>
        <w:rPr>
          <w:rFonts w:eastAsia="Times New Roman"/>
        </w:rPr>
        <w:t>a, Martin,</w:t>
      </w:r>
      <w:r w:rsidRPr="00CA1385">
        <w:rPr>
          <w:rFonts w:eastAsia="Times New Roman"/>
        </w:rPr>
        <w:t xml:space="preserve"> Jan Josef Kovář, Miriam Nývltová Fišáková,</w:t>
      </w:r>
      <w:r>
        <w:rPr>
          <w:rFonts w:eastAsia="Times New Roman"/>
        </w:rPr>
        <w:t xml:space="preserve"> </w:t>
      </w:r>
      <w:r w:rsidRPr="00CA1385">
        <w:rPr>
          <w:rFonts w:eastAsia="Times New Roman"/>
        </w:rPr>
        <w:t xml:space="preserve">Petr Škrdla, Lubomír Prokeš, Miroslav Vaškových, and Zdeněk </w:t>
      </w:r>
      <w:r>
        <w:rPr>
          <w:rFonts w:eastAsia="Times New Roman"/>
        </w:rPr>
        <w:t>Schenk.</w:t>
      </w:r>
      <w:r w:rsidRPr="00CA1385">
        <w:rPr>
          <w:rFonts w:eastAsia="Times New Roman"/>
        </w:rPr>
        <w:t xml:space="preserve"> </w:t>
      </w:r>
      <w:r>
        <w:rPr>
          <w:rFonts w:eastAsia="Times New Roman"/>
        </w:rPr>
        <w:t xml:space="preserve">2011. </w:t>
      </w:r>
      <w:r w:rsidRPr="00CA1385">
        <w:rPr>
          <w:rFonts w:eastAsia="Times New Roman"/>
        </w:rPr>
        <w:t>Chronologie neolitu na Moravě: Předběžné výsledky</w:t>
      </w:r>
      <w:r>
        <w:rPr>
          <w:rFonts w:eastAsia="Times New Roman"/>
        </w:rPr>
        <w:t>,”</w:t>
      </w:r>
      <w:r w:rsidRPr="00CA1385">
        <w:rPr>
          <w:rFonts w:eastAsia="Times New Roman"/>
        </w:rPr>
        <w:t xml:space="preserve"> </w:t>
      </w:r>
      <w:r w:rsidRPr="00CA1385">
        <w:rPr>
          <w:rFonts w:eastAsia="Times New Roman"/>
          <w:i/>
        </w:rPr>
        <w:t>Přehled výzkumů</w:t>
      </w:r>
      <w:r>
        <w:rPr>
          <w:rFonts w:eastAsia="Times New Roman"/>
        </w:rPr>
        <w:t xml:space="preserve">, </w:t>
      </w:r>
      <w:r w:rsidRPr="00CA1385">
        <w:rPr>
          <w:rFonts w:eastAsia="Times New Roman"/>
        </w:rPr>
        <w:t>53</w:t>
      </w:r>
      <w:r>
        <w:rPr>
          <w:rFonts w:eastAsia="Times New Roman"/>
        </w:rPr>
        <w:t>(</w:t>
      </w:r>
      <w:r w:rsidRPr="00CA1385">
        <w:rPr>
          <w:rFonts w:eastAsia="Times New Roman"/>
        </w:rPr>
        <w:t>1</w:t>
      </w:r>
      <w:r>
        <w:rPr>
          <w:rFonts w:eastAsia="Times New Roman"/>
        </w:rPr>
        <w:t>)</w:t>
      </w:r>
      <w:r w:rsidRPr="00CA1385">
        <w:rPr>
          <w:rFonts w:eastAsia="Times New Roman"/>
        </w:rPr>
        <w:t>.</w:t>
      </w:r>
    </w:p>
    <w:p w:rsidR="00A62001" w:rsidRDefault="00A62001" w:rsidP="00A62001">
      <w:pPr>
        <w:spacing w:before="100" w:beforeAutospacing="1" w:after="100" w:afterAutospacing="1"/>
        <w:rPr>
          <w:rFonts w:eastAsia="Times New Roman"/>
        </w:rPr>
      </w:pPr>
      <w:r w:rsidRPr="00CA1385">
        <w:rPr>
          <w:rFonts w:eastAsia="Times New Roman"/>
        </w:rPr>
        <w:t>Sázelová, Sandra</w:t>
      </w:r>
      <w:r>
        <w:rPr>
          <w:rFonts w:eastAsia="Times New Roman"/>
        </w:rPr>
        <w:t>. 2008. “</w:t>
      </w:r>
      <w:r w:rsidRPr="00CA1385">
        <w:rPr>
          <w:rFonts w:eastAsia="Times New Roman"/>
        </w:rPr>
        <w:t>Female Figurines of Northern Eurasia: An Ethnological Approach.</w:t>
      </w:r>
      <w:r>
        <w:rPr>
          <w:rFonts w:eastAsia="Times New Roman"/>
        </w:rPr>
        <w:t>” In Svoboda, Jiří A.,</w:t>
      </w:r>
      <w:r w:rsidRPr="00CA1385">
        <w:rPr>
          <w:rFonts w:eastAsia="Times New Roman"/>
        </w:rPr>
        <w:t xml:space="preserve"> </w:t>
      </w:r>
      <w:r w:rsidRPr="00CA1385">
        <w:rPr>
          <w:rFonts w:eastAsia="Times New Roman"/>
          <w:i/>
        </w:rPr>
        <w:t>Petřkovice. On Shouldered Points and Female Figurines.</w:t>
      </w:r>
      <w:r w:rsidRPr="00CA1385">
        <w:rPr>
          <w:rFonts w:eastAsia="Times New Roman"/>
        </w:rPr>
        <w:t xml:space="preserve"> The Dolní Věstonice Studies, Vol. 15, Brno</w:t>
      </w:r>
      <w:r>
        <w:rPr>
          <w:rFonts w:eastAsia="Times New Roman"/>
        </w:rPr>
        <w:t xml:space="preserve">: </w:t>
      </w:r>
      <w:r w:rsidRPr="00CA1385">
        <w:rPr>
          <w:rFonts w:eastAsia="Times New Roman"/>
        </w:rPr>
        <w:t>Academy of Sciences of the Czech Republic, Institute of Archaeology, pp. 224-232.</w:t>
      </w:r>
    </w:p>
    <w:p w:rsidR="00A62001" w:rsidRPr="00CA1385" w:rsidRDefault="00A62001" w:rsidP="00A62001">
      <w:pPr>
        <w:rPr>
          <w:rFonts w:ascii="Arial" w:eastAsia="Times New Roman" w:hAnsi="Arial" w:cs="Arial"/>
          <w:sz w:val="20"/>
          <w:szCs w:val="20"/>
        </w:rPr>
      </w:pPr>
      <w:r w:rsidRPr="00411F13">
        <w:rPr>
          <w:rFonts w:eastAsia="Times New Roman"/>
        </w:rPr>
        <w:t xml:space="preserve">Svoboda, </w:t>
      </w:r>
      <w:r>
        <w:rPr>
          <w:rFonts w:eastAsia="Times New Roman"/>
        </w:rPr>
        <w:t xml:space="preserve">Jiri, </w:t>
      </w:r>
      <w:r w:rsidRPr="00411F13">
        <w:rPr>
          <w:rFonts w:eastAsia="Times New Roman"/>
        </w:rPr>
        <w:t xml:space="preserve">Vojen Lozek, and Emanuel Vlcek. </w:t>
      </w:r>
      <w:r>
        <w:rPr>
          <w:rFonts w:eastAsia="Times New Roman"/>
        </w:rPr>
        <w:t xml:space="preserve">1996. </w:t>
      </w:r>
      <w:r w:rsidRPr="00411F13">
        <w:rPr>
          <w:rFonts w:eastAsia="Times New Roman"/>
          <w:i/>
        </w:rPr>
        <w:t>Hunters between East and West, the Paleolithic of Moravia</w:t>
      </w:r>
      <w:r>
        <w:rPr>
          <w:rFonts w:eastAsia="Times New Roman"/>
        </w:rPr>
        <w:t>.</w:t>
      </w:r>
      <w:r w:rsidRPr="00411F13">
        <w:rPr>
          <w:rFonts w:eastAsia="Times New Roman"/>
        </w:rPr>
        <w:t xml:space="preserve"> </w:t>
      </w:r>
      <w:r>
        <w:rPr>
          <w:rFonts w:eastAsia="Times New Roman"/>
        </w:rPr>
        <w:t xml:space="preserve">New York: Plenum Press; New York: </w:t>
      </w:r>
      <w:r>
        <w:rPr>
          <w:rFonts w:ascii="Arial" w:eastAsia="Times New Roman" w:hAnsi="Arial" w:cs="Arial"/>
          <w:sz w:val="20"/>
          <w:szCs w:val="20"/>
        </w:rPr>
        <w:t>Springer.</w:t>
      </w:r>
    </w:p>
    <w:p w:rsidR="00A62001" w:rsidRPr="00411F13" w:rsidRDefault="00A62001" w:rsidP="00A62001"/>
    <w:p w:rsidR="00A62001" w:rsidRDefault="00A62001" w:rsidP="00A62001"/>
    <w:p w:rsidR="00A62001" w:rsidRDefault="00A62001" w:rsidP="00A62001"/>
    <w:p w:rsidR="00A62001" w:rsidRDefault="00A62001" w:rsidP="00A62001">
      <w:pPr>
        <w:spacing w:after="0"/>
      </w:pPr>
    </w:p>
    <w:sectPr w:rsidR="00A62001" w:rsidSect="00A620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01"/>
    <w:rsid w:val="00151F1C"/>
    <w:rsid w:val="00202775"/>
    <w:rsid w:val="006E7A03"/>
    <w:rsid w:val="00711E51"/>
    <w:rsid w:val="00A62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2DE09-1667-4105-91E8-7A392203D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7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62001"/>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62001"/>
    <w:rPr>
      <w:b/>
      <w:bCs/>
    </w:rPr>
  </w:style>
  <w:style w:type="character" w:customStyle="1" w:styleId="Heading3Char">
    <w:name w:val="Heading 3 Char"/>
    <w:basedOn w:val="DefaultParagraphFont"/>
    <w:link w:val="Heading3"/>
    <w:uiPriority w:val="9"/>
    <w:rsid w:val="00A62001"/>
    <w:rPr>
      <w:rFonts w:eastAsia="Times New Roman"/>
      <w:b/>
      <w:bCs/>
      <w:color w:val="auto"/>
      <w:sz w:val="27"/>
      <w:szCs w:val="27"/>
    </w:rPr>
  </w:style>
  <w:style w:type="character" w:customStyle="1" w:styleId="exlavailabilitycallnumber">
    <w:name w:val="exlavailabilitycallnumber"/>
    <w:basedOn w:val="DefaultParagraphFont"/>
    <w:rsid w:val="00A62001"/>
  </w:style>
  <w:style w:type="character" w:customStyle="1" w:styleId="hvr">
    <w:name w:val="hvr"/>
    <w:basedOn w:val="DefaultParagraphFont"/>
    <w:rsid w:val="00A62001"/>
  </w:style>
  <w:style w:type="character" w:styleId="Emphasis">
    <w:name w:val="Emphasis"/>
    <w:basedOn w:val="DefaultParagraphFont"/>
    <w:uiPriority w:val="20"/>
    <w:qFormat/>
    <w:rsid w:val="00711E51"/>
    <w:rPr>
      <w:i/>
      <w:iCs/>
    </w:rPr>
  </w:style>
  <w:style w:type="character" w:customStyle="1" w:styleId="Heading1Char">
    <w:name w:val="Heading 1 Char"/>
    <w:basedOn w:val="DefaultParagraphFont"/>
    <w:link w:val="Heading1"/>
    <w:uiPriority w:val="9"/>
    <w:rsid w:val="006E7A03"/>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6E7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1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2017-09-11T20:45:00Z</dcterms:created>
  <dcterms:modified xsi:type="dcterms:W3CDTF">2017-09-11T21:10:00Z</dcterms:modified>
</cp:coreProperties>
</file>