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069CE">
      <w:r>
        <w:t>A1117 Afr-Egy-</w:t>
      </w:r>
      <w:r w:rsidR="00D34219">
        <w:t>19</w:t>
      </w:r>
      <w:r w:rsidR="00D34219" w:rsidRPr="00D34219">
        <w:rPr>
          <w:vertAlign w:val="superscript"/>
        </w:rPr>
        <w:t>th</w:t>
      </w:r>
      <w:r w:rsidR="00D34219">
        <w:t xml:space="preserve"> Dynasty-</w:t>
      </w:r>
      <w:r>
        <w:t>Ram</w:t>
      </w:r>
      <w:r w:rsidR="004253CF">
        <w:t>es</w:t>
      </w:r>
      <w:r>
        <w:t>ses II-1303-1213 BCE</w:t>
      </w:r>
      <w:r w:rsidR="009E2C32">
        <w:t>-stele</w:t>
      </w:r>
    </w:p>
    <w:p w:rsidR="00B714CC" w:rsidRDefault="00B714CC">
      <w:pPr>
        <w:rPr>
          <w:noProof/>
        </w:rPr>
      </w:pPr>
      <w:r>
        <w:rPr>
          <w:noProof/>
        </w:rPr>
        <w:drawing>
          <wp:inline distT="0" distB="0" distL="0" distR="0" wp14:anchorId="56881DCC" wp14:editId="3EEBFCBE">
            <wp:extent cx="2310765" cy="3081020"/>
            <wp:effectExtent l="0" t="0" r="0" b="5080"/>
            <wp:docPr id="3" name="Picture 3" descr="Paris, Louvre Antiquities Egypt 1290-1224 BC - Ramses II as a Child, 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is, Louvre Antiquities Egypt 1290-1224 BC - Ramses II as a Child, Relie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4CC">
        <w:rPr>
          <w:noProof/>
        </w:rPr>
        <w:t xml:space="preserve"> </w:t>
      </w:r>
      <w:r w:rsidR="008B10C7" w:rsidRPr="00B714CC">
        <w:rPr>
          <w:noProof/>
        </w:rPr>
        <w:drawing>
          <wp:inline distT="0" distB="0" distL="0" distR="0" wp14:anchorId="6CE424CC" wp14:editId="07649E00">
            <wp:extent cx="2209800" cy="3082722"/>
            <wp:effectExtent l="0" t="0" r="0" b="3810"/>
            <wp:docPr id="7" name="Picture 7" descr="F:\Rameses II ob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ameses II obver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64" cy="30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32" w:rsidRDefault="009E2C32">
      <w:r>
        <w:rPr>
          <w:noProof/>
        </w:rPr>
        <w:t>Fig. 1 Left: Obverse (front) stele of young Ranesses II; Fig. 2. Right: Reverse (back)  Ptah and vizier.</w:t>
      </w:r>
    </w:p>
    <w:p w:rsidR="00C40696" w:rsidRPr="00B714CC" w:rsidRDefault="00D34219" w:rsidP="00C40696">
      <w:pPr>
        <w:rPr>
          <w:rStyle w:val="Strong"/>
          <w:b w:val="0"/>
          <w:bCs w:val="0"/>
        </w:rPr>
      </w:pPr>
      <w:r w:rsidRPr="00D34219">
        <w:t xml:space="preserve"> </w:t>
      </w:r>
      <w:r w:rsidR="00C40696">
        <w:rPr>
          <w:rStyle w:val="Strong"/>
        </w:rPr>
        <w:t>Case No.: 2</w:t>
      </w:r>
    </w:p>
    <w:p w:rsidR="00C40696" w:rsidRDefault="00C40696" w:rsidP="009E2C32">
      <w:pPr>
        <w:rPr>
          <w:rStyle w:val="Strong"/>
        </w:rPr>
      </w:pPr>
      <w:r>
        <w:rPr>
          <w:rStyle w:val="Strong"/>
        </w:rPr>
        <w:t>Formal Label:</w:t>
      </w:r>
      <w:r w:rsidR="009E2C32">
        <w:rPr>
          <w:rStyle w:val="Strong"/>
        </w:rPr>
        <w:t xml:space="preserve"> </w:t>
      </w:r>
      <w:r w:rsidR="009E2C32" w:rsidRPr="009E2C32">
        <w:rPr>
          <w:rStyle w:val="Strong"/>
          <w:b w:val="0"/>
        </w:rPr>
        <w:t>Stele of young</w:t>
      </w:r>
      <w:r w:rsidR="009E2C32">
        <w:rPr>
          <w:rStyle w:val="Strong"/>
        </w:rPr>
        <w:t xml:space="preserve"> </w:t>
      </w:r>
      <w:r w:rsidR="009E2C32">
        <w:t>Ramesses II-1303-1213 BCE.</w:t>
      </w:r>
    </w:p>
    <w:p w:rsidR="00C40696" w:rsidRDefault="00C40696" w:rsidP="00C40696">
      <w:r>
        <w:rPr>
          <w:b/>
        </w:rPr>
        <w:t>Display Description</w:t>
      </w:r>
      <w:r>
        <w:rPr>
          <w:rStyle w:val="Strong"/>
        </w:rPr>
        <w:t xml:space="preserve">: </w:t>
      </w:r>
    </w:p>
    <w:p w:rsidR="002F72EE" w:rsidRDefault="002F72EE" w:rsidP="002F72EE">
      <w:r w:rsidRPr="009E2C32">
        <w:rPr>
          <w:bCs/>
        </w:rPr>
        <w:t>Ramesses</w:t>
      </w:r>
      <w:r>
        <w:t xml:space="preserve"> (the Great) or </w:t>
      </w:r>
      <w:r w:rsidRPr="009E2C32">
        <w:rPr>
          <w:bCs/>
        </w:rPr>
        <w:t>Ramses</w:t>
      </w:r>
      <w:r>
        <w:t xml:space="preserve"> (</w:t>
      </w:r>
      <w:r>
        <w:rPr>
          <w:rStyle w:val="nowrap"/>
        </w:rPr>
        <w:t>ca 1303-</w:t>
      </w:r>
      <w:r>
        <w:t>1213 BCE; reigned 1279–1213 BCE), 3</w:t>
      </w:r>
      <w:r w:rsidRPr="002F72EE">
        <w:rPr>
          <w:vertAlign w:val="superscript"/>
        </w:rPr>
        <w:t>rd</w:t>
      </w:r>
      <w:r>
        <w:t xml:space="preserve"> </w:t>
      </w:r>
      <w:r w:rsidRPr="00467DC6">
        <w:t>pharaoh</w:t>
      </w:r>
      <w:r>
        <w:t xml:space="preserve"> of the 19</w:t>
      </w:r>
      <w:r w:rsidRPr="002F72EE">
        <w:rPr>
          <w:vertAlign w:val="superscript"/>
        </w:rPr>
        <w:t>th</w:t>
      </w:r>
      <w:r w:rsidRPr="002F72EE">
        <w:t xml:space="preserve"> Dynasty</w:t>
      </w:r>
      <w:r>
        <w:t>,</w:t>
      </w:r>
      <w:r w:rsidRPr="002F72EE">
        <w:t xml:space="preserve"> </w:t>
      </w:r>
      <w:r>
        <w:t>is regarded as the greatest and most powerful pharaoh, who, with an army of 100,000 restored possession</w:t>
      </w:r>
      <w:r w:rsidR="00D35DE4">
        <w:t>s</w:t>
      </w:r>
      <w:r>
        <w:t xml:space="preserve"> </w:t>
      </w:r>
      <w:r w:rsidR="00D35DE4">
        <w:t>in</w:t>
      </w:r>
      <w:r>
        <w:t xml:space="preserve"> Libya, Nubia and Anatolia</w:t>
      </w:r>
      <w:r w:rsidR="00D35DE4">
        <w:rPr>
          <w:rStyle w:val="reference-text"/>
        </w:rPr>
        <w:t xml:space="preserve"> (Gabriel </w:t>
      </w:r>
      <w:r w:rsidR="00D35DE4">
        <w:rPr>
          <w:rStyle w:val="reference-text"/>
          <w:iCs/>
        </w:rPr>
        <w:t xml:space="preserve">2003: </w:t>
      </w:r>
      <w:r w:rsidRPr="002F72EE">
        <w:t>6</w:t>
      </w:r>
      <w:r w:rsidR="00D35DE4">
        <w:t>)</w:t>
      </w:r>
      <w:r w:rsidRPr="002F72EE">
        <w:t>.</w:t>
      </w:r>
      <w:r>
        <w:t xml:space="preserve"> </w:t>
      </w:r>
      <w:r w:rsidR="00467DC6">
        <w:t xml:space="preserve">This </w:t>
      </w:r>
      <w:r w:rsidR="00B97B58">
        <w:t xml:space="preserve">18 cm </w:t>
      </w:r>
      <w:r w:rsidR="00467DC6">
        <w:t xml:space="preserve">carved </w:t>
      </w:r>
      <w:r w:rsidR="009E2C32">
        <w:t>stel</w:t>
      </w:r>
      <w:r w:rsidR="00467DC6">
        <w:t>e was found in his origina</w:t>
      </w:r>
      <w:r w:rsidR="00EA05E9">
        <w:t xml:space="preserve">l burial place, </w:t>
      </w:r>
      <w:r w:rsidR="00D35DE4">
        <w:t xml:space="preserve">tomb </w:t>
      </w:r>
      <w:r w:rsidR="00D35DE4" w:rsidRPr="00467DC6">
        <w:t>KV7</w:t>
      </w:r>
      <w:r w:rsidR="00D35DE4">
        <w:t xml:space="preserve"> in the </w:t>
      </w:r>
      <w:r w:rsidR="00D35DE4" w:rsidRPr="00467DC6">
        <w:t>Valley of the Kings</w:t>
      </w:r>
      <w:r w:rsidR="00B97B58">
        <w:t xml:space="preserve"> but</w:t>
      </w:r>
      <w:r w:rsidR="00EA05E9">
        <w:t xml:space="preserve"> </w:t>
      </w:r>
      <w:r w:rsidR="009E2C32">
        <w:t>Ramesses II’s</w:t>
      </w:r>
      <w:r w:rsidR="00EA05E9">
        <w:t xml:space="preserve"> body was</w:t>
      </w:r>
      <w:r w:rsidR="00D35DE4">
        <w:t xml:space="preserve"> reburied </w:t>
      </w:r>
      <w:r w:rsidR="00EA05E9">
        <w:t xml:space="preserve">223 years after his death </w:t>
      </w:r>
      <w:r w:rsidR="00D35DE4">
        <w:t xml:space="preserve">in the tomb of </w:t>
      </w:r>
      <w:proofErr w:type="spellStart"/>
      <w:r w:rsidR="00D35DE4" w:rsidRPr="00467DC6">
        <w:t>Pinudje</w:t>
      </w:r>
      <w:r w:rsidR="00D35DE4" w:rsidRPr="00467DC6">
        <w:t>m</w:t>
      </w:r>
      <w:proofErr w:type="spellEnd"/>
      <w:r w:rsidR="00D35DE4" w:rsidRPr="00467DC6">
        <w:t xml:space="preserve"> II</w:t>
      </w:r>
      <w:r w:rsidR="00E117D2">
        <w:t xml:space="preserve"> </w:t>
      </w:r>
      <w:r w:rsidR="00467DC6">
        <w:t>(</w:t>
      </w:r>
      <w:r w:rsidR="00467DC6" w:rsidRPr="00467DC6">
        <w:t xml:space="preserve">High Priest of </w:t>
      </w:r>
      <w:proofErr w:type="spellStart"/>
      <w:r w:rsidR="00467DC6" w:rsidRPr="00467DC6">
        <w:t>Amun</w:t>
      </w:r>
      <w:proofErr w:type="spellEnd"/>
      <w:r w:rsidR="00467DC6" w:rsidRPr="00467DC6">
        <w:t xml:space="preserve"> at Thebes</w:t>
      </w:r>
      <w:r w:rsidR="00467DC6">
        <w:t xml:space="preserve">, 990-969 BCE ruler of Upper Egypt) </w:t>
      </w:r>
      <w:r w:rsidR="00D35DE4">
        <w:t>because of looting</w:t>
      </w:r>
      <w:r w:rsidR="00EA05E9">
        <w:t>.</w:t>
      </w:r>
      <w:r w:rsidR="00D35DE4">
        <w:t xml:space="preserve"> </w:t>
      </w:r>
      <w:r w:rsidR="009E2C32">
        <w:t xml:space="preserve">He was considered as one of </w:t>
      </w:r>
      <w:r w:rsidR="00152D0C">
        <w:t xml:space="preserve">the descendants of </w:t>
      </w:r>
      <w:r w:rsidR="00E117D2">
        <w:t>Seth</w:t>
      </w:r>
      <w:r w:rsidR="00152D0C">
        <w:t xml:space="preserve"> </w:t>
      </w:r>
      <w:r w:rsidR="00E117D2">
        <w:t>(Osiris’ slayer</w:t>
      </w:r>
      <w:r w:rsidR="009E2C32">
        <w:t xml:space="preserve">) because his hair was red as was that of Seth, and that of his father’s </w:t>
      </w:r>
      <w:r w:rsidR="00CA2EEE">
        <w:t>(</w:t>
      </w:r>
      <w:r w:rsidR="00E117D2">
        <w:t>Seti I</w:t>
      </w:r>
      <w:r w:rsidR="009E2C32">
        <w:t>’s</w:t>
      </w:r>
      <w:r w:rsidR="00CA2EEE">
        <w:t>)</w:t>
      </w:r>
      <w:r w:rsidR="00E117D2">
        <w:t xml:space="preserve"> </w:t>
      </w:r>
      <w:r w:rsidR="009E2C32">
        <w:t>as well</w:t>
      </w:r>
      <w:r w:rsidR="00CA2EEE">
        <w:rPr>
          <w:rFonts w:ascii="Georgia" w:hAnsi="Georgia"/>
          <w:color w:val="000000"/>
          <w:sz w:val="30"/>
          <w:szCs w:val="30"/>
          <w:shd w:val="clear" w:color="auto" w:fill="FFEBCD"/>
        </w:rPr>
        <w:t> </w:t>
      </w:r>
      <w:r w:rsidR="00467DC6">
        <w:t xml:space="preserve">(Brier 1994:153). </w:t>
      </w:r>
      <w:r w:rsidR="00E117D2">
        <w:t>T</w:t>
      </w:r>
      <w:r w:rsidR="00D35DE4">
        <w:t xml:space="preserve">oday </w:t>
      </w:r>
      <w:r w:rsidR="009E2C32">
        <w:t>Ramesses II’s</w:t>
      </w:r>
      <w:r w:rsidR="00E117D2">
        <w:t xml:space="preserve"> mummy is </w:t>
      </w:r>
      <w:r w:rsidR="00D35DE4">
        <w:t xml:space="preserve">in </w:t>
      </w:r>
      <w:r w:rsidR="00E117D2" w:rsidRPr="00467DC6">
        <w:rPr>
          <w:bCs/>
        </w:rPr>
        <w:t>Museum of Egyptian Antiquities, Cairo</w:t>
      </w:r>
      <w:r w:rsidR="00D35DE4" w:rsidRPr="00467DC6">
        <w:t>.</w:t>
      </w:r>
    </w:p>
    <w:p w:rsidR="00B97B58" w:rsidRDefault="00B97B58" w:rsidP="002F72EE"/>
    <w:p w:rsidR="00C91235" w:rsidRDefault="004A3C5C" w:rsidP="004253CF">
      <w:r w:rsidRPr="004253CF">
        <w:t xml:space="preserve">Both sides of this small stele </w:t>
      </w:r>
      <w:r w:rsidR="00152D0C">
        <w:t xml:space="preserve">in the Louvre </w:t>
      </w:r>
      <w:r w:rsidRPr="004253CF">
        <w:t xml:space="preserve">are sculpted. </w:t>
      </w:r>
    </w:p>
    <w:p w:rsidR="00497370" w:rsidRDefault="004A3C5C" w:rsidP="004253CF">
      <w:r w:rsidRPr="004253CF">
        <w:t xml:space="preserve">On the </w:t>
      </w:r>
      <w:r w:rsidR="00EC7A86">
        <w:t xml:space="preserve">obverse </w:t>
      </w:r>
      <w:r w:rsidR="00686E57">
        <w:t>(</w:t>
      </w:r>
      <w:r w:rsidRPr="004253CF">
        <w:t>front</w:t>
      </w:r>
      <w:r w:rsidR="00B714CC">
        <w:t xml:space="preserve"> side</w:t>
      </w:r>
      <w:r w:rsidR="00686E57">
        <w:t>)</w:t>
      </w:r>
      <w:r w:rsidRPr="004253CF">
        <w:t xml:space="preserve">, </w:t>
      </w:r>
      <w:r w:rsidR="00EC7A86">
        <w:t>young Ramesses II</w:t>
      </w:r>
      <w:r w:rsidRPr="004253CF">
        <w:t xml:space="preserve"> is identified by </w:t>
      </w:r>
      <w:r w:rsidR="00EC7A86">
        <w:t>his</w:t>
      </w:r>
      <w:r w:rsidRPr="004253CF">
        <w:t xml:space="preserve"> royal cartouche. </w:t>
      </w:r>
      <w:r w:rsidR="008B10C7" w:rsidRPr="008B10C7">
        <w:t xml:space="preserve"> </w:t>
      </w:r>
      <w:r w:rsidR="008B10C7">
        <w:rPr>
          <w:noProof/>
        </w:rPr>
        <w:drawing>
          <wp:inline distT="0" distB="0" distL="0" distR="0">
            <wp:extent cx="502920" cy="1034993"/>
            <wp:effectExtent l="0" t="0" r="0" b="0"/>
            <wp:docPr id="8" name="Picture 8" descr="Image result for R &quot;Ramesses II cartouch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R &quot;Ramesses II cartouch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8" cy="10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C7" w:rsidRDefault="0056160E" w:rsidP="004253CF">
      <w:r>
        <w:t xml:space="preserve">Fig. 3. </w:t>
      </w:r>
      <w:r w:rsidR="008B10C7">
        <w:t>Ramesses II cartouche.</w:t>
      </w:r>
    </w:p>
    <w:p w:rsidR="004E03C1" w:rsidRDefault="0056160E" w:rsidP="004E03C1">
      <w:pPr>
        <w:ind w:firstLine="720"/>
      </w:pPr>
      <w:r>
        <w:t xml:space="preserve">Ramesses II </w:t>
      </w:r>
      <w:r w:rsidR="004A3C5C" w:rsidRPr="004253CF">
        <w:t>is depicted</w:t>
      </w:r>
      <w:r w:rsidR="004E03C1">
        <w:t xml:space="preserve"> with</w:t>
      </w:r>
      <w:r w:rsidR="004A3C5C" w:rsidRPr="004253CF">
        <w:t xml:space="preserve"> </w:t>
      </w:r>
      <w:r w:rsidR="004E03C1">
        <w:t xml:space="preserve">a single </w:t>
      </w:r>
      <w:r w:rsidR="004E03C1" w:rsidRPr="004253CF">
        <w:t xml:space="preserve">braid falling to </w:t>
      </w:r>
      <w:r w:rsidR="004E03C1">
        <w:t>the right side</w:t>
      </w:r>
      <w:r w:rsidR="004E03C1" w:rsidRPr="004253CF">
        <w:t xml:space="preserve"> </w:t>
      </w:r>
      <w:r w:rsidR="004E03C1">
        <w:t xml:space="preserve">of his head </w:t>
      </w:r>
      <w:r w:rsidR="004E03C1" w:rsidRPr="004253CF">
        <w:t xml:space="preserve">and </w:t>
      </w:r>
      <w:r w:rsidR="004E03C1">
        <w:t xml:space="preserve">with </w:t>
      </w:r>
      <w:r w:rsidR="004E03C1" w:rsidRPr="004253CF">
        <w:t xml:space="preserve">a Uraeus </w:t>
      </w:r>
      <w:r w:rsidR="004E03C1">
        <w:t>(sacred cobra) encircling</w:t>
      </w:r>
      <w:r w:rsidR="004E03C1" w:rsidRPr="004253CF">
        <w:t xml:space="preserve"> his head</w:t>
      </w:r>
      <w:r w:rsidR="004E03C1">
        <w:t xml:space="preserve"> as protection</w:t>
      </w:r>
      <w:r w:rsidR="004E03C1" w:rsidRPr="004253CF">
        <w:t xml:space="preserve">. </w:t>
      </w:r>
      <w:r w:rsidR="004E03C1">
        <w:t xml:space="preserve">He is </w:t>
      </w:r>
      <w:r w:rsidR="004A3C5C" w:rsidRPr="004253CF">
        <w:t xml:space="preserve">seated on a cushion, </w:t>
      </w:r>
      <w:r w:rsidR="00B97B58">
        <w:t xml:space="preserve">with a </w:t>
      </w:r>
      <w:r w:rsidR="00B97B58" w:rsidRPr="004253CF">
        <w:t>beaded earring</w:t>
      </w:r>
      <w:r w:rsidR="00B97B58">
        <w:t xml:space="preserve"> on his right ear</w:t>
      </w:r>
      <w:r w:rsidR="00B97B58" w:rsidRPr="004253CF">
        <w:t xml:space="preserve"> </w:t>
      </w:r>
      <w:r w:rsidR="004E03C1">
        <w:t xml:space="preserve">and with </w:t>
      </w:r>
      <w:r w:rsidR="00B97B58" w:rsidRPr="004253CF">
        <w:t>a large</w:t>
      </w:r>
      <w:r w:rsidR="004E03C1">
        <w:t>,</w:t>
      </w:r>
      <w:r w:rsidR="00B97B58" w:rsidRPr="004253CF">
        <w:t xml:space="preserve"> pleated loincloth that rises up </w:t>
      </w:r>
      <w:r w:rsidR="004E03C1">
        <w:t>his</w:t>
      </w:r>
      <w:r w:rsidR="00B97B58" w:rsidRPr="004253CF">
        <w:t xml:space="preserve"> back.</w:t>
      </w:r>
      <w:r w:rsidR="004E03C1">
        <w:t xml:space="preserve"> H</w:t>
      </w:r>
      <w:r w:rsidR="004A3C5C" w:rsidRPr="004253CF">
        <w:t xml:space="preserve">is </w:t>
      </w:r>
      <w:r w:rsidR="008B10C7">
        <w:t xml:space="preserve">index </w:t>
      </w:r>
      <w:r w:rsidR="004A3C5C" w:rsidRPr="004253CF">
        <w:t xml:space="preserve">finger </w:t>
      </w:r>
      <w:r w:rsidR="00152D0C">
        <w:t xml:space="preserve">is </w:t>
      </w:r>
      <w:r w:rsidR="008B10C7">
        <w:t>touching</w:t>
      </w:r>
      <w:r w:rsidR="004A3C5C" w:rsidRPr="004253CF">
        <w:t xml:space="preserve"> his lips</w:t>
      </w:r>
      <w:r>
        <w:t xml:space="preserve"> as though to utter a word</w:t>
      </w:r>
      <w:r w:rsidR="004A3C5C" w:rsidRPr="004253CF">
        <w:t xml:space="preserve">, </w:t>
      </w:r>
      <w:r w:rsidR="004E03C1">
        <w:t xml:space="preserve">which is a significant gesture as it is the same gesture that Ptah made when he created the World. </w:t>
      </w:r>
    </w:p>
    <w:p w:rsidR="00C91235" w:rsidRDefault="004E03C1" w:rsidP="004E03C1">
      <w:pPr>
        <w:ind w:firstLine="720"/>
      </w:pPr>
      <w:r>
        <w:t xml:space="preserve">Ptah, the </w:t>
      </w:r>
      <w:r w:rsidRPr="00F94218">
        <w:t>Creator god</w:t>
      </w:r>
      <w:r>
        <w:t xml:space="preserve">, </w:t>
      </w:r>
      <w:r>
        <w:t xml:space="preserve">(on the reverse side) </w:t>
      </w:r>
      <w:r>
        <w:t xml:space="preserve">existed before all things, and who by his willfulness, conceived the World by Thought, and realized It by the Word: </w:t>
      </w:r>
      <w:r>
        <w:rPr>
          <w:i/>
          <w:iCs/>
        </w:rPr>
        <w:t>Ptah conceives the world by the thought of his heart and gives life through the magic of his Word</w:t>
      </w:r>
      <w:r>
        <w:t xml:space="preserve">. Similarly, young Ramesses is about to give being to the </w:t>
      </w:r>
      <w:r>
        <w:t xml:space="preserve">new </w:t>
      </w:r>
      <w:r>
        <w:t>Egyptian World by his Thought and Word.</w:t>
      </w:r>
    </w:p>
    <w:p w:rsidR="004A3C5C" w:rsidRPr="004253CF" w:rsidRDefault="004A3C5C" w:rsidP="004E03C1">
      <w:pPr>
        <w:ind w:firstLine="720"/>
      </w:pPr>
      <w:r w:rsidRPr="004253CF">
        <w:t xml:space="preserve">On the reverse side, </w:t>
      </w:r>
      <w:r w:rsidR="00497370">
        <w:t>a</w:t>
      </w:r>
      <w:r w:rsidRPr="004253CF">
        <w:t xml:space="preserve"> </w:t>
      </w:r>
      <w:proofErr w:type="spellStart"/>
      <w:r w:rsidR="0049737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tjati</w:t>
      </w:r>
      <w:proofErr w:type="spellEnd"/>
      <w:r w:rsidR="00497370" w:rsidRPr="004253CF">
        <w:t xml:space="preserve"> </w:t>
      </w:r>
      <w:r w:rsidR="00497370">
        <w:t xml:space="preserve">or </w:t>
      </w:r>
      <w:r w:rsidRPr="004253CF">
        <w:t>vizier</w:t>
      </w:r>
      <w:r w:rsidR="00497370">
        <w:t xml:space="preserve">, probably </w:t>
      </w:r>
      <w:proofErr w:type="spellStart"/>
      <w:r w:rsidR="00497370">
        <w:t>Nehi</w:t>
      </w:r>
      <w:proofErr w:type="spellEnd"/>
      <w:r w:rsidR="00497370">
        <w:t>,</w:t>
      </w:r>
      <w:r w:rsidR="00EC7A86">
        <w:t xml:space="preserve"> </w:t>
      </w:r>
      <w:r w:rsidRPr="004253CF">
        <w:t xml:space="preserve">is identified by </w:t>
      </w:r>
      <w:r w:rsidR="00497370">
        <w:t>his</w:t>
      </w:r>
      <w:r w:rsidRPr="004253CF">
        <w:t xml:space="preserve"> </w:t>
      </w:r>
      <w:r w:rsidR="00497370">
        <w:t>official robes, with h</w:t>
      </w:r>
      <w:r w:rsidRPr="004253CF">
        <w:t xml:space="preserve">is hands </w:t>
      </w:r>
      <w:r w:rsidR="00497370">
        <w:t>raised in supplication to</w:t>
      </w:r>
      <w:r w:rsidRPr="004253CF">
        <w:t xml:space="preserve"> the god Ptah</w:t>
      </w:r>
      <w:r w:rsidR="00497370">
        <w:t>, who</w:t>
      </w:r>
      <w:r w:rsidRPr="004253CF">
        <w:t xml:space="preserve"> is </w:t>
      </w:r>
      <w:r w:rsidR="00497370">
        <w:t xml:space="preserve">ensconced </w:t>
      </w:r>
      <w:r w:rsidRPr="004253CF">
        <w:t>in a miniature temple</w:t>
      </w:r>
      <w:r w:rsidR="00686E57">
        <w:t xml:space="preserve">. Ptah </w:t>
      </w:r>
      <w:r w:rsidR="00686E57">
        <w:rPr>
          <w:noProof/>
        </w:rPr>
        <w:drawing>
          <wp:inline distT="0" distB="0" distL="0" distR="0" wp14:anchorId="2C3001C0" wp14:editId="6AF8F2EF">
            <wp:extent cx="220980" cy="1374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18" cy="14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E57">
        <w:t xml:space="preserve"> is </w:t>
      </w:r>
      <w:r w:rsidR="008B10C7">
        <w:t xml:space="preserve">in the form of a mummified human, standing on the symbol for </w:t>
      </w:r>
      <w:proofErr w:type="spellStart"/>
      <w:r w:rsidR="008B10C7">
        <w:t>Ma'at</w:t>
      </w:r>
      <w:proofErr w:type="spellEnd"/>
      <w:r w:rsidR="008B10C7">
        <w:t>, holding a scepter or staff that bears the combined ankh-</w:t>
      </w:r>
      <w:proofErr w:type="spellStart"/>
      <w:r w:rsidR="008B10C7">
        <w:t>djed</w:t>
      </w:r>
      <w:proofErr w:type="spellEnd"/>
      <w:r w:rsidR="008B10C7">
        <w:t xml:space="preserve">-was symbols. </w:t>
      </w:r>
      <w:r w:rsidR="0056160E">
        <w:t>Ptah</w:t>
      </w:r>
      <w:r w:rsidR="00686E57">
        <w:t xml:space="preserve"> wears a </w:t>
      </w:r>
      <w:r w:rsidR="0056160E">
        <w:t xml:space="preserve">skullcap, </w:t>
      </w:r>
      <w:r w:rsidR="00686E57">
        <w:t>a false</w:t>
      </w:r>
      <w:r w:rsidR="0056160E">
        <w:t xml:space="preserve"> beard and a collar.</w:t>
      </w:r>
    </w:p>
    <w:p w:rsidR="00C40696" w:rsidRDefault="00C40696" w:rsidP="00C40696">
      <w:r>
        <w:rPr>
          <w:rStyle w:val="Strong"/>
        </w:rPr>
        <w:t>LC Classification:</w:t>
      </w:r>
      <w:r>
        <w:t xml:space="preserve"> DT88</w:t>
      </w:r>
    </w:p>
    <w:p w:rsidR="00C40696" w:rsidRDefault="00C40696" w:rsidP="00C40696">
      <w:r>
        <w:rPr>
          <w:rStyle w:val="Strong"/>
        </w:rPr>
        <w:t>Date or Time Horizon:</w:t>
      </w:r>
      <w:r>
        <w:t xml:space="preserve"> 1303-1213 BCE</w:t>
      </w:r>
    </w:p>
    <w:p w:rsidR="00C40696" w:rsidRDefault="00C40696" w:rsidP="00C40696">
      <w:pPr>
        <w:rPr>
          <w:rStyle w:val="Strong"/>
        </w:rPr>
      </w:pPr>
      <w:r>
        <w:rPr>
          <w:rStyle w:val="Strong"/>
        </w:rPr>
        <w:t>Geographical Area: KV</w:t>
      </w:r>
      <w:r w:rsidR="00C91235">
        <w:rPr>
          <w:rStyle w:val="Strong"/>
        </w:rPr>
        <w:t>.</w:t>
      </w:r>
      <w:r>
        <w:rPr>
          <w:rStyle w:val="Strong"/>
        </w:rPr>
        <w:t>7, Valley of the Kings</w:t>
      </w:r>
    </w:p>
    <w:p w:rsidR="00C40696" w:rsidRDefault="00C40696" w:rsidP="00C40696">
      <w:r>
        <w:rPr>
          <w:rStyle w:val="Strong"/>
        </w:rPr>
        <w:t>Map, GPS Coordinates:</w:t>
      </w:r>
      <w:r>
        <w:t xml:space="preserve"> </w:t>
      </w:r>
      <w:hyperlink r:id="rId10" w:history="1">
        <w:r w:rsidRPr="004253CF">
          <w:rPr>
            <w:rStyle w:val="Hyperlink"/>
          </w:rPr>
          <w:t>25°44′26.3″N 32°36′5.61″E</w:t>
        </w:r>
      </w:hyperlink>
      <w:r>
        <w:t xml:space="preserve">; </w:t>
      </w:r>
      <w:r w:rsidRPr="00C40696">
        <w:t>25.74056 32.60139</w:t>
      </w:r>
    </w:p>
    <w:p w:rsidR="00C40696" w:rsidRDefault="00C40696" w:rsidP="00C40696">
      <w:r>
        <w:rPr>
          <w:noProof/>
        </w:rPr>
        <w:drawing>
          <wp:inline distT="0" distB="0" distL="0" distR="0" wp14:anchorId="26A60B98" wp14:editId="6389BAF3">
            <wp:extent cx="2506980" cy="232225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84" cy="23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1" w:rsidRDefault="000207A1" w:rsidP="00C40696">
      <w:r>
        <w:t>Fig. 4. Map of the location of KV.7.</w:t>
      </w:r>
    </w:p>
    <w:p w:rsidR="00C40696" w:rsidRDefault="00C40696" w:rsidP="00C40696">
      <w:r>
        <w:rPr>
          <w:rStyle w:val="Strong"/>
        </w:rPr>
        <w:t>Cultural Affiliation:</w:t>
      </w:r>
      <w:r>
        <w:t xml:space="preserve"> </w:t>
      </w:r>
      <w:r w:rsidR="004A3C5C">
        <w:t>New Kingdom, 19</w:t>
      </w:r>
      <w:r w:rsidR="004A3C5C" w:rsidRPr="004A3C5C">
        <w:rPr>
          <w:vertAlign w:val="superscript"/>
        </w:rPr>
        <w:t>th</w:t>
      </w:r>
      <w:r w:rsidR="004A3C5C">
        <w:t xml:space="preserve"> Dynasty</w:t>
      </w:r>
    </w:p>
    <w:p w:rsidR="00C40696" w:rsidRDefault="00C40696" w:rsidP="00C40696">
      <w:r>
        <w:rPr>
          <w:rStyle w:val="Strong"/>
        </w:rPr>
        <w:t>Medium:</w:t>
      </w:r>
      <w:r>
        <w:t xml:space="preserve"> </w:t>
      </w:r>
      <w:r w:rsidR="000207A1">
        <w:t xml:space="preserve">replica, plaster of Paris; </w:t>
      </w:r>
      <w:r w:rsidR="004A3C5C">
        <w:t>original</w:t>
      </w:r>
      <w:r w:rsidR="000207A1">
        <w:t>,</w:t>
      </w:r>
      <w:r w:rsidR="004A3C5C">
        <w:t xml:space="preserve"> limestone.</w:t>
      </w:r>
    </w:p>
    <w:p w:rsidR="00C40696" w:rsidRDefault="00C40696" w:rsidP="00C40696">
      <w:pPr>
        <w:rPr>
          <w:rStyle w:val="Strong"/>
        </w:rPr>
      </w:pPr>
      <w:r>
        <w:rPr>
          <w:rStyle w:val="Strong"/>
        </w:rPr>
        <w:t xml:space="preserve">Dimensions: </w:t>
      </w:r>
      <w:r w:rsidR="007C3E5D">
        <w:t>H</w:t>
      </w:r>
      <w:r w:rsidR="00FD5BF1">
        <w:t xml:space="preserve"> 18 cm</w:t>
      </w:r>
      <w:r w:rsidR="007C3E5D">
        <w:t xml:space="preserve">; L </w:t>
      </w:r>
      <w:r w:rsidR="00FD5BF1">
        <w:t>13 cm</w:t>
      </w:r>
      <w:r w:rsidR="007C3E5D">
        <w:t>; T</w:t>
      </w:r>
      <w:r w:rsidR="00FD5BF1">
        <w:t xml:space="preserve"> 3</w:t>
      </w:r>
      <w:r w:rsidR="00B97B58">
        <w:t>.</w:t>
      </w:r>
      <w:r w:rsidR="00FD5BF1">
        <w:t>80 cm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7C3E5D">
        <w:rPr>
          <w:rStyle w:val="Strong"/>
        </w:rPr>
        <w:t>n/a</w:t>
      </w:r>
    </w:p>
    <w:p w:rsidR="00C40696" w:rsidRDefault="00C40696" w:rsidP="00C40696">
      <w:r>
        <w:rPr>
          <w:rStyle w:val="Strong"/>
        </w:rPr>
        <w:t>Provenance:</w:t>
      </w:r>
      <w:r w:rsidR="004A3C5C">
        <w:rPr>
          <w:rStyle w:val="Strong"/>
        </w:rPr>
        <w:t xml:space="preserve"> </w:t>
      </w:r>
      <w:r w:rsidR="004A3C5C" w:rsidRPr="004253CF">
        <w:rPr>
          <w:rStyle w:val="Strong"/>
          <w:b w:val="0"/>
        </w:rPr>
        <w:t>Tomb KV.7 Valley of the Kings</w:t>
      </w:r>
      <w:r w:rsidR="00597B65">
        <w:rPr>
          <w:rStyle w:val="Strong"/>
          <w:b w:val="0"/>
        </w:rPr>
        <w:t>; Louvre Museum</w:t>
      </w:r>
      <w:r w:rsidR="007C3E5D">
        <w:rPr>
          <w:rStyle w:val="Strong"/>
          <w:b w:val="0"/>
        </w:rPr>
        <w:t xml:space="preserve">, acc. </w:t>
      </w:r>
      <w:r w:rsidR="00FD5BF1">
        <w:rPr>
          <w:rStyle w:val="Strong"/>
          <w:b w:val="0"/>
        </w:rPr>
        <w:t>n</w:t>
      </w:r>
      <w:r w:rsidR="007C3E5D">
        <w:rPr>
          <w:rStyle w:val="Strong"/>
          <w:b w:val="0"/>
        </w:rPr>
        <w:t>o. N522</w:t>
      </w:r>
      <w:r w:rsidR="00597B65">
        <w:rPr>
          <w:rStyle w:val="Strong"/>
          <w:b w:val="0"/>
        </w:rPr>
        <w:t>.</w:t>
      </w:r>
    </w:p>
    <w:p w:rsidR="00C40696" w:rsidRPr="004043CB" w:rsidRDefault="00C40696" w:rsidP="00C4069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4A3C5C">
        <w:rPr>
          <w:b/>
        </w:rPr>
        <w:t xml:space="preserve"> </w:t>
      </w:r>
      <w:r w:rsidR="004A3C5C" w:rsidRPr="004253CF">
        <w:t>r</w:t>
      </w:r>
      <w:bookmarkStart w:id="0" w:name="_GoBack"/>
      <w:bookmarkEnd w:id="0"/>
      <w:r w:rsidR="004A3C5C" w:rsidRPr="004253CF">
        <w:t>eplica</w:t>
      </w:r>
    </w:p>
    <w:p w:rsidR="00C40696" w:rsidRDefault="00C40696" w:rsidP="00C40696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F94218" w:rsidRDefault="004253CF" w:rsidP="00F622BF">
      <w:pPr>
        <w:ind w:firstLine="720"/>
      </w:pPr>
      <w:r>
        <w:t>Both</w:t>
      </w:r>
      <w:r w:rsidR="004A3C5C" w:rsidRPr="004253CF">
        <w:t xml:space="preserve"> </w:t>
      </w:r>
      <w:r w:rsidR="00B714CC">
        <w:t xml:space="preserve">sides </w:t>
      </w:r>
      <w:r w:rsidR="004A3C5C" w:rsidRPr="004253CF">
        <w:t xml:space="preserve">of this votive </w:t>
      </w:r>
      <w:r w:rsidR="0056160E">
        <w:t>stele</w:t>
      </w:r>
      <w:r w:rsidR="004A3C5C" w:rsidRPr="004253CF">
        <w:t xml:space="preserve"> </w:t>
      </w:r>
      <w:r w:rsidR="0056160E">
        <w:t>reflect the symbolic significance of the</w:t>
      </w:r>
      <w:r w:rsidR="004A3C5C" w:rsidRPr="004253CF">
        <w:t xml:space="preserve"> sign of </w:t>
      </w:r>
      <w:proofErr w:type="spellStart"/>
      <w:r w:rsidR="004A3C5C" w:rsidRPr="00B714CC">
        <w:rPr>
          <w:i/>
        </w:rPr>
        <w:t>akhet</w:t>
      </w:r>
      <w:proofErr w:type="spellEnd"/>
      <w:r w:rsidR="0056160E">
        <w:t xml:space="preserve"> </w:t>
      </w:r>
      <w:r w:rsidR="00CA2870">
        <w:rPr>
          <w:noProof/>
        </w:rPr>
        <w:drawing>
          <wp:inline distT="0" distB="0" distL="0" distR="0">
            <wp:extent cx="167640" cy="122332"/>
            <wp:effectExtent l="0" t="0" r="3810" b="0"/>
            <wp:docPr id="1" name="Picture 1" descr="N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6" cy="1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812">
        <w:t xml:space="preserve"> (</w:t>
      </w:r>
      <w:r w:rsidR="00103812" w:rsidRPr="00CA2870">
        <w:t>Gar</w:t>
      </w:r>
      <w:r w:rsidR="00103812" w:rsidRPr="00CA2870">
        <w:t>diner</w:t>
      </w:r>
      <w:r w:rsidR="00103812">
        <w:rPr>
          <w:rStyle w:val="nowrap"/>
        </w:rPr>
        <w:t> </w:t>
      </w:r>
      <w:r w:rsidR="00F94218">
        <w:rPr>
          <w:rStyle w:val="nowrap"/>
        </w:rPr>
        <w:t xml:space="preserve">1957, </w:t>
      </w:r>
      <w:r w:rsidR="00103812">
        <w:t xml:space="preserve">N27) </w:t>
      </w:r>
      <w:r w:rsidR="004A3C5C" w:rsidRPr="004253CF">
        <w:t xml:space="preserve">the sun </w:t>
      </w:r>
      <w:r>
        <w:t xml:space="preserve">rising </w:t>
      </w:r>
      <w:r w:rsidR="001A46BD">
        <w:t xml:space="preserve">on the horizon </w:t>
      </w:r>
      <w:r>
        <w:t>between two mountain</w:t>
      </w:r>
      <w:r w:rsidR="004A3C5C" w:rsidRPr="004253CF">
        <w:t>s</w:t>
      </w:r>
      <w:r w:rsidR="00F94218">
        <w:t>.</w:t>
      </w:r>
      <w:r w:rsidR="004A3C5C" w:rsidRPr="004253CF">
        <w:t xml:space="preserve"> </w:t>
      </w:r>
    </w:p>
    <w:p w:rsidR="00F622BF" w:rsidRDefault="00F94218" w:rsidP="00F94218">
      <w:pPr>
        <w:ind w:firstLine="720"/>
      </w:pPr>
      <w:r>
        <w:t>The obverse panel implies that the</w:t>
      </w:r>
      <w:r w:rsidR="004A3C5C" w:rsidRPr="004253CF">
        <w:t xml:space="preserve"> </w:t>
      </w:r>
      <w:r w:rsidR="0056160E">
        <w:t>royal</w:t>
      </w:r>
      <w:r w:rsidR="004A3C5C" w:rsidRPr="004253CF">
        <w:t xml:space="preserve"> child </w:t>
      </w:r>
      <w:r w:rsidR="0056160E">
        <w:t xml:space="preserve">is </w:t>
      </w:r>
      <w:r w:rsidR="001A46BD">
        <w:t>Ra’s chosen one being born</w:t>
      </w:r>
      <w:r w:rsidR="004A3C5C" w:rsidRPr="004253CF">
        <w:t xml:space="preserve"> "</w:t>
      </w:r>
      <w:r w:rsidR="001A46BD">
        <w:t xml:space="preserve">like the morning </w:t>
      </w:r>
      <w:r w:rsidR="004A3C5C" w:rsidRPr="004253CF">
        <w:t>Sun"</w:t>
      </w:r>
      <w:r w:rsidR="001A46BD">
        <w:t xml:space="preserve"> that rises as </w:t>
      </w:r>
      <w:r w:rsidR="004A3C5C" w:rsidRPr="004253CF">
        <w:t xml:space="preserve">the creative force incarnated in the figure of the </w:t>
      </w:r>
      <w:r w:rsidR="00103812">
        <w:t>emergent</w:t>
      </w:r>
      <w:r w:rsidR="001A46BD">
        <w:t xml:space="preserve"> </w:t>
      </w:r>
      <w:r w:rsidR="00F622BF">
        <w:t>king</w:t>
      </w:r>
      <w:r w:rsidR="004E03C1">
        <w:t xml:space="preserve"> who creates like Ptah</w:t>
      </w:r>
      <w:r w:rsidR="00F622BF">
        <w:t>.</w:t>
      </w:r>
      <w:r>
        <w:t xml:space="preserve"> </w:t>
      </w:r>
    </w:p>
    <w:p w:rsidR="00F622BF" w:rsidRPr="00B97B58" w:rsidRDefault="004A3C5C" w:rsidP="00F622BF">
      <w:pPr>
        <w:ind w:firstLine="720"/>
      </w:pPr>
      <w:r w:rsidRPr="004253CF">
        <w:t xml:space="preserve">The </w:t>
      </w:r>
      <w:r w:rsidR="00F94218">
        <w:t>reverse</w:t>
      </w:r>
      <w:r w:rsidRPr="004253CF">
        <w:t xml:space="preserve"> </w:t>
      </w:r>
      <w:r w:rsidR="001A46BD">
        <w:t>panel</w:t>
      </w:r>
      <w:r w:rsidRPr="004253CF">
        <w:t xml:space="preserve"> depicts the god Ptah</w:t>
      </w:r>
      <w:r w:rsidR="004E03C1">
        <w:t>,</w:t>
      </w:r>
      <w:r w:rsidRPr="004253CF">
        <w:t xml:space="preserve"> the Great Craftsman</w:t>
      </w:r>
      <w:r w:rsidR="00B97B58">
        <w:t>,</w:t>
      </w:r>
      <w:r w:rsidR="001A46BD">
        <w:t xml:space="preserve"> who</w:t>
      </w:r>
      <w:r w:rsidRPr="004253CF">
        <w:t xml:space="preserve"> could bring forth </w:t>
      </w:r>
      <w:r w:rsidR="001A46BD">
        <w:t xml:space="preserve">new </w:t>
      </w:r>
      <w:r w:rsidRPr="004253CF">
        <w:t>life through</w:t>
      </w:r>
      <w:r w:rsidR="001A46BD">
        <w:t xml:space="preserve"> both</w:t>
      </w:r>
      <w:r w:rsidRPr="004253CF">
        <w:t xml:space="preserve"> thought and word</w:t>
      </w:r>
      <w:r w:rsidR="00B97B58">
        <w:t>,</w:t>
      </w:r>
      <w:r w:rsidR="00F94218">
        <w:t xml:space="preserve"> </w:t>
      </w:r>
      <w:r w:rsidR="004E03C1">
        <w:t xml:space="preserve">and who </w:t>
      </w:r>
      <w:r w:rsidR="00F94218">
        <w:t xml:space="preserve">was </w:t>
      </w:r>
      <w:r w:rsidR="00F21205">
        <w:t xml:space="preserve">to be </w:t>
      </w:r>
      <w:r w:rsidR="00F94218">
        <w:t>emulated by</w:t>
      </w:r>
      <w:r w:rsidR="001A46BD">
        <w:t xml:space="preserve"> </w:t>
      </w:r>
      <w:r w:rsidRPr="004253CF">
        <w:t xml:space="preserve">Ramesses II </w:t>
      </w:r>
      <w:r w:rsidR="00F94218">
        <w:t>in</w:t>
      </w:r>
      <w:r w:rsidR="001A46BD">
        <w:t xml:space="preserve"> </w:t>
      </w:r>
      <w:r w:rsidRPr="004253CF">
        <w:t>encourag</w:t>
      </w:r>
      <w:r w:rsidR="00F94218">
        <w:t>ing</w:t>
      </w:r>
      <w:r w:rsidRPr="004253CF">
        <w:t xml:space="preserve"> </w:t>
      </w:r>
      <w:r w:rsidR="001A46BD">
        <w:t xml:space="preserve">sculptors to carve </w:t>
      </w:r>
      <w:r w:rsidR="00F21205">
        <w:t>deities and engineers to build monumental temples</w:t>
      </w:r>
      <w:r w:rsidR="00B97B58">
        <w:t xml:space="preserve"> and buildings such </w:t>
      </w:r>
      <w:r w:rsidR="00B97B58" w:rsidRPr="00B97B58">
        <w:t xml:space="preserve">as the vast tomb complex known as the </w:t>
      </w:r>
      <w:proofErr w:type="spellStart"/>
      <w:r w:rsidR="00B97B58" w:rsidRPr="00B97B58">
        <w:t>Ramesseum</w:t>
      </w:r>
      <w:proofErr w:type="spellEnd"/>
      <w:r w:rsidR="00B97B58" w:rsidRPr="00B97B58">
        <w:t xml:space="preserve"> at Thebes, the temples at Abu Simbel, the hall at </w:t>
      </w:r>
      <w:proofErr w:type="spellStart"/>
      <w:r w:rsidR="00B97B58" w:rsidRPr="00B97B58">
        <w:t>Karnak</w:t>
      </w:r>
      <w:proofErr w:type="spellEnd"/>
      <w:r w:rsidR="00B97B58" w:rsidRPr="00B97B58">
        <w:t>, and the complex at Abydos.</w:t>
      </w:r>
    </w:p>
    <w:p w:rsidR="004A3C5C" w:rsidRPr="004043CB" w:rsidRDefault="004A3C5C" w:rsidP="00C40696">
      <w:pPr>
        <w:rPr>
          <w:b/>
        </w:rPr>
      </w:pPr>
    </w:p>
    <w:p w:rsidR="00C40696" w:rsidRDefault="00C40696" w:rsidP="00C40696">
      <w:pPr>
        <w:rPr>
          <w:b/>
        </w:rPr>
      </w:pPr>
      <w:r w:rsidRPr="00050BD4">
        <w:rPr>
          <w:b/>
        </w:rPr>
        <w:t>References:</w:t>
      </w:r>
    </w:p>
    <w:p w:rsidR="00E117D2" w:rsidRDefault="004A3C5C" w:rsidP="004A3C5C">
      <w:r w:rsidRPr="004A3C5C">
        <w:br/>
        <w:t xml:space="preserve">Andrey, G., M. H. </w:t>
      </w:r>
      <w:proofErr w:type="spellStart"/>
      <w:r w:rsidRPr="004A3C5C">
        <w:t>Rutschowscaya</w:t>
      </w:r>
      <w:proofErr w:type="spellEnd"/>
      <w:r w:rsidRPr="004A3C5C">
        <w:t>, and C. Ziegler. 1997</w:t>
      </w:r>
      <w:r w:rsidRPr="004253CF">
        <w:rPr>
          <w:i/>
        </w:rPr>
        <w:t xml:space="preserve">. </w:t>
      </w:r>
      <w:proofErr w:type="spellStart"/>
      <w:r w:rsidRPr="004253CF">
        <w:rPr>
          <w:i/>
        </w:rPr>
        <w:t>L'Egypte</w:t>
      </w:r>
      <w:proofErr w:type="spellEnd"/>
      <w:r w:rsidRPr="004253CF">
        <w:rPr>
          <w:i/>
        </w:rPr>
        <w:t xml:space="preserve"> au Louvre</w:t>
      </w:r>
      <w:r w:rsidRPr="004A3C5C">
        <w:t>. Paris: Hachette, p. 144, 254, notice 65.</w:t>
      </w:r>
    </w:p>
    <w:p w:rsidR="00E117D2" w:rsidRDefault="00E117D2" w:rsidP="004A3C5C">
      <w:pPr>
        <w:rPr>
          <w:rStyle w:val="reference-text"/>
        </w:rPr>
      </w:pPr>
    </w:p>
    <w:p w:rsidR="00C40696" w:rsidRDefault="00E117D2" w:rsidP="004A3C5C">
      <w:pPr>
        <w:rPr>
          <w:rStyle w:val="reference-text"/>
        </w:rPr>
      </w:pPr>
      <w:r>
        <w:rPr>
          <w:rStyle w:val="reference-text"/>
        </w:rPr>
        <w:t>Brier</w:t>
      </w:r>
      <w:r w:rsidR="004E03C1">
        <w:rPr>
          <w:rStyle w:val="reference-text"/>
        </w:rPr>
        <w:t>, Robert</w:t>
      </w:r>
      <w:r>
        <w:rPr>
          <w:rStyle w:val="reference-text"/>
        </w:rPr>
        <w:t xml:space="preserve">. 1994. </w:t>
      </w:r>
      <w:r>
        <w:rPr>
          <w:rStyle w:val="reference-text"/>
          <w:i/>
          <w:iCs/>
        </w:rPr>
        <w:t>Egyptian Mummies: Unravelling the Secrets of an Ancient Art</w:t>
      </w:r>
      <w:r>
        <w:rPr>
          <w:rStyle w:val="reference-text"/>
        </w:rPr>
        <w:t>. New York: William Morrow &amp; Co. Inc.</w:t>
      </w:r>
    </w:p>
    <w:p w:rsidR="00E117D2" w:rsidRPr="004A3C5C" w:rsidRDefault="00E117D2" w:rsidP="004A3C5C"/>
    <w:p w:rsidR="00D35DE4" w:rsidRDefault="00D35DE4" w:rsidP="00C40696">
      <w:r w:rsidRPr="002F72EE">
        <w:rPr>
          <w:rStyle w:val="reference-text"/>
        </w:rPr>
        <w:t xml:space="preserve">Gabriel, </w:t>
      </w:r>
      <w:r w:rsidRPr="002F72EE">
        <w:rPr>
          <w:rFonts w:eastAsia="Arial Unicode MS"/>
          <w:color w:val="000000"/>
          <w:shd w:val="clear" w:color="auto" w:fill="FFFFFF"/>
        </w:rPr>
        <w:t>Richard A.</w:t>
      </w:r>
      <w:r w:rsidRPr="002F72EE">
        <w:rPr>
          <w:rStyle w:val="reference-text"/>
          <w:i/>
          <w:iCs/>
        </w:rPr>
        <w:t xml:space="preserve"> </w:t>
      </w:r>
      <w:r w:rsidRPr="002F72EE">
        <w:rPr>
          <w:rStyle w:val="reference-text"/>
          <w:iCs/>
        </w:rPr>
        <w:t>2003.</w:t>
      </w:r>
      <w:r w:rsidRPr="002F72EE">
        <w:rPr>
          <w:rStyle w:val="reference-text"/>
          <w:i/>
          <w:iCs/>
        </w:rPr>
        <w:t xml:space="preserve"> The Great Armies of Antiquity. </w:t>
      </w:r>
      <w:proofErr w:type="spellStart"/>
      <w:r w:rsidRPr="002F72EE">
        <w:rPr>
          <w:rFonts w:hint="eastAsia"/>
        </w:rPr>
        <w:t>Praeger</w:t>
      </w:r>
      <w:proofErr w:type="spellEnd"/>
      <w:r w:rsidRPr="002F72EE">
        <w:rPr>
          <w:rFonts w:hint="eastAsia"/>
        </w:rPr>
        <w:t xml:space="preserve"> </w:t>
      </w:r>
      <w:r>
        <w:rPr>
          <w:rFonts w:hint="eastAsia"/>
        </w:rPr>
        <w:t>Publishers.</w:t>
      </w:r>
      <w:r>
        <w:t xml:space="preserve"> </w:t>
      </w:r>
    </w:p>
    <w:p w:rsidR="00D35DE4" w:rsidRDefault="00D35DE4" w:rsidP="00C40696"/>
    <w:p w:rsidR="00F94218" w:rsidRDefault="00F94218" w:rsidP="00C40696">
      <w:r>
        <w:t>Gardiner</w:t>
      </w:r>
      <w:r w:rsidR="004E03C1">
        <w:t xml:space="preserve">, </w:t>
      </w:r>
      <w:r w:rsidR="004E03C1">
        <w:t>A.H.</w:t>
      </w:r>
      <w:r>
        <w:t xml:space="preserve"> 1957. </w:t>
      </w:r>
      <w:r w:rsidRPr="00F94218">
        <w:rPr>
          <w:i/>
          <w:iCs/>
        </w:rPr>
        <w:t>Egyptian Grammar: Being an Introduction to the Study of Hieroglyphs</w:t>
      </w:r>
      <w:r>
        <w:t xml:space="preserve">. 3rd Ed. Oxford: </w:t>
      </w:r>
      <w:r w:rsidRPr="00F94218">
        <w:t>Griffith Institute</w:t>
      </w:r>
      <w:r>
        <w:t>.</w:t>
      </w:r>
    </w:p>
    <w:p w:rsidR="00F94218" w:rsidRDefault="00F94218" w:rsidP="00C40696"/>
    <w:p w:rsidR="002F72EE" w:rsidRPr="002F72EE" w:rsidRDefault="002F72EE" w:rsidP="002F72EE">
      <w:pPr>
        <w:rPr>
          <w:b/>
        </w:rPr>
      </w:pPr>
      <w:r>
        <w:rPr>
          <w:rStyle w:val="HTMLCite"/>
          <w:i w:val="0"/>
        </w:rPr>
        <w:t>Kitchen, Kenneth. 1983</w:t>
      </w:r>
      <w:r w:rsidRPr="002F72EE">
        <w:rPr>
          <w:rStyle w:val="HTMLCite"/>
          <w:i w:val="0"/>
        </w:rPr>
        <w:t>.</w:t>
      </w:r>
      <w:r>
        <w:rPr>
          <w:rStyle w:val="HTMLCite"/>
        </w:rPr>
        <w:t xml:space="preserve"> Pharaoh Triumphant: The Life and Times of Ramesses II, King of Egypt. </w:t>
      </w:r>
      <w:r w:rsidRPr="002F72EE">
        <w:rPr>
          <w:rStyle w:val="HTMLCite"/>
          <w:i w:val="0"/>
        </w:rPr>
        <w:t xml:space="preserve">London: </w:t>
      </w:r>
      <w:proofErr w:type="spellStart"/>
      <w:r w:rsidRPr="002F72EE">
        <w:rPr>
          <w:rStyle w:val="HTMLCite"/>
          <w:i w:val="0"/>
        </w:rPr>
        <w:t>Aris</w:t>
      </w:r>
      <w:proofErr w:type="spellEnd"/>
      <w:r w:rsidRPr="002F72EE">
        <w:rPr>
          <w:rStyle w:val="HTMLCite"/>
          <w:i w:val="0"/>
        </w:rPr>
        <w:t xml:space="preserve"> &amp; Phillips.</w:t>
      </w:r>
    </w:p>
    <w:p w:rsidR="002F72EE" w:rsidRDefault="002F72EE" w:rsidP="00C40696"/>
    <w:p w:rsidR="00467DC6" w:rsidRDefault="00467DC6" w:rsidP="00467DC6">
      <w:r w:rsidRPr="00C40696">
        <w:t xml:space="preserve">Leblanc, Christian. </w:t>
      </w:r>
      <w:r>
        <w:t xml:space="preserve">1997. </w:t>
      </w:r>
      <w:r w:rsidRPr="00C40696">
        <w:t>"The Tomb of Ramesses II and Remains of his Funerary Treasure</w:t>
      </w:r>
      <w:r>
        <w:t>,</w:t>
      </w:r>
      <w:r w:rsidRPr="00C40696">
        <w:t>" </w:t>
      </w:r>
      <w:r w:rsidRPr="00467DC6">
        <w:rPr>
          <w:i/>
        </w:rPr>
        <w:t>Egyptian Archaeology</w:t>
      </w:r>
      <w:r w:rsidRPr="00C40696">
        <w:t>; 10 (1997): 11-13.</w:t>
      </w:r>
    </w:p>
    <w:p w:rsidR="00467DC6" w:rsidRDefault="00467DC6" w:rsidP="00467DC6">
      <w:r>
        <w:t xml:space="preserve"> </w:t>
      </w:r>
    </w:p>
    <w:p w:rsidR="00C40696" w:rsidRPr="00C40696" w:rsidRDefault="00C40696" w:rsidP="00C40696">
      <w:r w:rsidRPr="00C40696">
        <w:t xml:space="preserve">Reeves, N., &amp; Wilkinson, R. H. 1996. </w:t>
      </w:r>
      <w:r w:rsidRPr="004253CF">
        <w:rPr>
          <w:i/>
        </w:rPr>
        <w:t>The Complete Valley of the Kings</w:t>
      </w:r>
      <w:r w:rsidRPr="00C40696">
        <w:t>. London: Thames and Hudson.</w:t>
      </w:r>
    </w:p>
    <w:p w:rsidR="004A3C5C" w:rsidRDefault="004A3C5C" w:rsidP="00C40696"/>
    <w:p w:rsidR="00C40696" w:rsidRPr="00C40696" w:rsidRDefault="00C40696" w:rsidP="00C40696">
      <w:proofErr w:type="spellStart"/>
      <w:r w:rsidRPr="00C40696">
        <w:t>Siliotti</w:t>
      </w:r>
      <w:proofErr w:type="spellEnd"/>
      <w:r w:rsidRPr="00C40696">
        <w:t xml:space="preserve">, A. 1996. </w:t>
      </w:r>
      <w:r w:rsidRPr="004253CF">
        <w:rPr>
          <w:i/>
        </w:rPr>
        <w:t>Guide to the Valley of the Kings and to the Theban Necropolises and Temples.</w:t>
      </w:r>
      <w:r w:rsidRPr="00C40696">
        <w:t xml:space="preserve"> Cairo: A. A. Gaddis.</w:t>
      </w:r>
    </w:p>
    <w:p w:rsidR="004A3C5C" w:rsidRDefault="004A3C5C" w:rsidP="00C40696"/>
    <w:p w:rsidR="00C40696" w:rsidRDefault="00C40696"/>
    <w:sectPr w:rsidR="00C4069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1B1"/>
    <w:multiLevelType w:val="multilevel"/>
    <w:tmpl w:val="E8B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3569B"/>
    <w:multiLevelType w:val="multilevel"/>
    <w:tmpl w:val="899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C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42A"/>
    <w:rsid w:val="0001654F"/>
    <w:rsid w:val="0001706D"/>
    <w:rsid w:val="000207A1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5241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6EA"/>
    <w:rsid w:val="00103812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D0C"/>
    <w:rsid w:val="00153479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BD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2E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3CF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DC6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97370"/>
    <w:rsid w:val="004A0CAD"/>
    <w:rsid w:val="004A0F98"/>
    <w:rsid w:val="004A26C9"/>
    <w:rsid w:val="004A3C5C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03C1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60E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7B65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6E57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69CE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3E5D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0C7"/>
    <w:rsid w:val="008B1490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C32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14CC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97B58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696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235"/>
    <w:rsid w:val="00C920CA"/>
    <w:rsid w:val="00C9223A"/>
    <w:rsid w:val="00C93AA5"/>
    <w:rsid w:val="00C95F12"/>
    <w:rsid w:val="00C96E90"/>
    <w:rsid w:val="00C971D9"/>
    <w:rsid w:val="00CA1C87"/>
    <w:rsid w:val="00CA2870"/>
    <w:rsid w:val="00CA2945"/>
    <w:rsid w:val="00CA2EEE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4219"/>
    <w:rsid w:val="00D35730"/>
    <w:rsid w:val="00D35A6C"/>
    <w:rsid w:val="00D35DE4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B7016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17D2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05E9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C7A8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1205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22BF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218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5BF1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1BC0"/>
  <w15:chartTrackingRefBased/>
  <w15:docId w15:val="{3A8A623B-B00A-4007-81D6-827BB064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C5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geo-dms">
    <w:name w:val="geo-dms"/>
    <w:basedOn w:val="DefaultParagraphFont"/>
    <w:rsid w:val="00C40696"/>
  </w:style>
  <w:style w:type="character" w:customStyle="1" w:styleId="latitude">
    <w:name w:val="latitude"/>
    <w:basedOn w:val="DefaultParagraphFont"/>
    <w:rsid w:val="00C40696"/>
  </w:style>
  <w:style w:type="character" w:customStyle="1" w:styleId="longitude">
    <w:name w:val="longitude"/>
    <w:basedOn w:val="DefaultParagraphFont"/>
    <w:rsid w:val="00C40696"/>
  </w:style>
  <w:style w:type="character" w:styleId="Strong">
    <w:name w:val="Strong"/>
    <w:uiPriority w:val="22"/>
    <w:qFormat/>
    <w:rsid w:val="00C4069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C40696"/>
    <w:rPr>
      <w:i/>
      <w:iCs/>
    </w:rPr>
  </w:style>
  <w:style w:type="character" w:styleId="Hyperlink">
    <w:name w:val="Hyperlink"/>
    <w:basedOn w:val="DefaultParagraphFont"/>
    <w:uiPriority w:val="99"/>
    <w:unhideWhenUsed/>
    <w:rsid w:val="00C40696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C40696"/>
  </w:style>
  <w:style w:type="character" w:customStyle="1" w:styleId="nowrap">
    <w:name w:val="nowrap"/>
    <w:basedOn w:val="DefaultParagraphFont"/>
    <w:rsid w:val="00C40696"/>
  </w:style>
  <w:style w:type="character" w:customStyle="1" w:styleId="Heading2Char">
    <w:name w:val="Heading 2 Char"/>
    <w:basedOn w:val="DefaultParagraphFont"/>
    <w:link w:val="Heading2"/>
    <w:uiPriority w:val="9"/>
    <w:rsid w:val="004A3C5C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3C5C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A2870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2F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83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857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25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582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2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1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3195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tools.wmflabs.org/geohack/geohack.php?pagename=KV7&amp;params=25_44_26.3_N_32_36_5.61_E_type:landmark_region: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7</cp:revision>
  <dcterms:created xsi:type="dcterms:W3CDTF">2017-07-08T14:50:00Z</dcterms:created>
  <dcterms:modified xsi:type="dcterms:W3CDTF">2017-07-14T21:33:00Z</dcterms:modified>
</cp:coreProperties>
</file>