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4BF" w:rsidRDefault="00065475" w:rsidP="00CC74B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t>A191-</w:t>
      </w:r>
      <w:r w:rsidRPr="00065475">
        <w:t xml:space="preserve"> </w:t>
      </w:r>
      <w:r>
        <w:t>Afr-Egy-Ushabti-</w:t>
      </w:r>
      <w:r w:rsidR="00CC74BF" w:rsidRPr="00CC74BF">
        <w:t>Saite Period, 26th Dynasty, 664–525 BCE</w:t>
      </w:r>
    </w:p>
    <w:p w:rsidR="00065475" w:rsidRDefault="00065475" w:rsidP="00065475">
      <w:pPr>
        <w:rPr>
          <w:rStyle w:val="Strong"/>
        </w:rPr>
      </w:pPr>
      <w:r>
        <w:rPr>
          <w:rStyle w:val="Strong"/>
        </w:rPr>
        <w:t>Case No.:</w:t>
      </w:r>
      <w:r w:rsidR="001756A2">
        <w:rPr>
          <w:rStyle w:val="Strong"/>
        </w:rPr>
        <w:t xml:space="preserve"> 2</w:t>
      </w:r>
    </w:p>
    <w:p w:rsidR="00CC74BF" w:rsidRDefault="00065475" w:rsidP="00CC74BF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Strong"/>
        </w:rPr>
        <w:t>Formal Label:</w:t>
      </w:r>
      <w:r w:rsidR="00CC74BF">
        <w:rPr>
          <w:rStyle w:val="Strong"/>
        </w:rPr>
        <w:t xml:space="preserve"> Ushabti-</w:t>
      </w:r>
      <w:r w:rsidR="00CC74BF" w:rsidRPr="00CC74BF">
        <w:t>Egyptian Saite Period, 26th Dynasty, 664–525 BCE</w:t>
      </w:r>
    </w:p>
    <w:p w:rsidR="00065475" w:rsidRDefault="00065475" w:rsidP="00065475">
      <w:pPr>
        <w:rPr>
          <w:rStyle w:val="Strong"/>
        </w:rPr>
      </w:pPr>
      <w:r>
        <w:rPr>
          <w:b/>
        </w:rPr>
        <w:t>Display Description</w:t>
      </w:r>
      <w:r>
        <w:rPr>
          <w:rStyle w:val="Strong"/>
        </w:rPr>
        <w:t>:</w:t>
      </w:r>
      <w:r w:rsidR="00CC74BF" w:rsidRPr="00CC74BF">
        <w:rPr>
          <w:rStyle w:val="Strong"/>
        </w:rPr>
        <w:t xml:space="preserve"> </w:t>
      </w:r>
      <w:r w:rsidR="00690997" w:rsidRPr="006875DB">
        <w:rPr>
          <w:rStyle w:val="Strong"/>
          <w:b w:val="0"/>
        </w:rPr>
        <w:t>The dating of this Ushabti is based on the shape of the</w:t>
      </w:r>
      <w:r w:rsidR="00690997">
        <w:rPr>
          <w:rStyle w:val="Strong"/>
        </w:rPr>
        <w:t xml:space="preserve"> </w:t>
      </w:r>
      <w:r w:rsidR="00690997">
        <w:t xml:space="preserve">plain Saite Period lappet wig. </w:t>
      </w:r>
      <w:r w:rsidR="00733ECC">
        <w:t xml:space="preserve">The entire Ushabti was once covered with a laver of kaolin and then painted with bright colors. Hints of this painting can be seen on the head, sides and back. </w:t>
      </w:r>
      <w:r w:rsidR="00CC74BF">
        <w:t xml:space="preserve"> </w:t>
      </w:r>
      <w:r w:rsidR="00733ECC">
        <w:t xml:space="preserve">A </w:t>
      </w:r>
      <w:r w:rsidR="00CC74BF">
        <w:t xml:space="preserve">plain </w:t>
      </w:r>
      <w:r w:rsidR="00733ECC">
        <w:t xml:space="preserve">Saite Period </w:t>
      </w:r>
      <w:r w:rsidR="00CC74BF">
        <w:t xml:space="preserve">lappet wig, leaving the ears visible, </w:t>
      </w:r>
      <w:r w:rsidR="00733ECC">
        <w:t>frames his</w:t>
      </w:r>
      <w:r w:rsidR="00CC74BF">
        <w:t xml:space="preserve"> well-modelled, oval</w:t>
      </w:r>
      <w:r w:rsidR="00733ECC">
        <w:t xml:space="preserve"> face</w:t>
      </w:r>
      <w:r w:rsidR="00CC74BF">
        <w:t xml:space="preserve"> with almond-shaped eyes, fleshy cheeks and thick lips, which seem being pushed forward. His arms are not crossed as is usual, but his </w:t>
      </w:r>
      <w:r w:rsidR="00733ECC">
        <w:t xml:space="preserve">right hand </w:t>
      </w:r>
      <w:r w:rsidR="001756A2">
        <w:t xml:space="preserve">is placed </w:t>
      </w:r>
      <w:r w:rsidR="00733ECC">
        <w:t xml:space="preserve">over </w:t>
      </w:r>
      <w:r w:rsidR="001756A2">
        <w:t>his</w:t>
      </w:r>
      <w:r w:rsidR="00733ECC">
        <w:t xml:space="preserve"> left hand</w:t>
      </w:r>
      <w:r w:rsidR="001756A2">
        <w:t xml:space="preserve"> as though holding a staff</w:t>
      </w:r>
      <w:r w:rsidR="00CC74BF">
        <w:t xml:space="preserve">. Hieroglyphs are still visible in the sections that once adorned a </w:t>
      </w:r>
      <w:r w:rsidR="00690997">
        <w:t xml:space="preserve">vertical </w:t>
      </w:r>
      <w:r w:rsidR="00733ECC">
        <w:t>band</w:t>
      </w:r>
      <w:r w:rsidR="00CC74BF">
        <w:t xml:space="preserve"> down the front, His feet are placed on a plinth.</w:t>
      </w:r>
      <w:r w:rsidR="00733ECC">
        <w:t xml:space="preserve"> A field of red with black crisscrosses mimicking the bandaging of a mummy once covered this entire Ushabti.  </w:t>
      </w:r>
      <w:r w:rsidR="00CC74BF">
        <w:t xml:space="preserve"> </w:t>
      </w:r>
    </w:p>
    <w:p w:rsidR="00065475" w:rsidRDefault="00065475" w:rsidP="00065475">
      <w:pPr>
        <w:rPr>
          <w:rStyle w:val="Strong"/>
        </w:rPr>
      </w:pPr>
      <w:r>
        <w:rPr>
          <w:rStyle w:val="Strong"/>
        </w:rPr>
        <w:t>Accession Number:</w:t>
      </w:r>
      <w:r w:rsidR="001756A2">
        <w:rPr>
          <w:rStyle w:val="Strong"/>
        </w:rPr>
        <w:t xml:space="preserve"> A191</w:t>
      </w:r>
    </w:p>
    <w:p w:rsidR="00065475" w:rsidRDefault="00065475" w:rsidP="00065475">
      <w:r>
        <w:rPr>
          <w:rStyle w:val="Strong"/>
        </w:rPr>
        <w:t>LC Classification:</w:t>
      </w:r>
      <w:r>
        <w:t xml:space="preserve"> </w:t>
      </w:r>
      <w:r w:rsidR="00733ECC" w:rsidRPr="005C2DD9">
        <w:rPr>
          <w:rStyle w:val="exlavailabilitycallnumber"/>
          <w:iCs/>
        </w:rPr>
        <w:t>DT62</w:t>
      </w:r>
    </w:p>
    <w:p w:rsidR="00065475" w:rsidRDefault="00065475" w:rsidP="00065475">
      <w:r>
        <w:rPr>
          <w:rStyle w:val="Strong"/>
        </w:rPr>
        <w:t>Date or Time Horizon:</w:t>
      </w:r>
      <w:r>
        <w:t xml:space="preserve"> </w:t>
      </w:r>
      <w:r w:rsidR="00733ECC" w:rsidRPr="00CC74BF">
        <w:t>Saite Period, 26th Dynasty, 664–525 BCE</w:t>
      </w:r>
    </w:p>
    <w:p w:rsidR="00065475" w:rsidRDefault="00065475" w:rsidP="00065475">
      <w:pPr>
        <w:rPr>
          <w:rStyle w:val="Strong"/>
        </w:rPr>
      </w:pPr>
      <w:r>
        <w:rPr>
          <w:rStyle w:val="Strong"/>
        </w:rPr>
        <w:t>Geographical Area:</w:t>
      </w:r>
      <w:r w:rsidR="001756A2">
        <w:rPr>
          <w:rStyle w:val="Strong"/>
        </w:rPr>
        <w:t xml:space="preserve"> </w:t>
      </w:r>
      <w:r w:rsidR="001756A2" w:rsidRPr="0022168C">
        <w:rPr>
          <w:rStyle w:val="Strong"/>
          <w:b w:val="0"/>
        </w:rPr>
        <w:t>Sais, Egypt</w:t>
      </w:r>
    </w:p>
    <w:p w:rsidR="00065475" w:rsidRDefault="00065475" w:rsidP="00065475">
      <w:r>
        <w:rPr>
          <w:rStyle w:val="Strong"/>
        </w:rPr>
        <w:t>Map, GPS Coordinates:</w:t>
      </w:r>
      <w:r>
        <w:t xml:space="preserve"> </w:t>
      </w:r>
      <w:r w:rsidR="001756A2" w:rsidRPr="001756A2">
        <w:t>30.96650 30.76751</w:t>
      </w:r>
      <w:r w:rsidR="001756A2">
        <w:t xml:space="preserve">, </w:t>
      </w:r>
      <w:r w:rsidR="001756A2" w:rsidRPr="001756A2">
        <w:t>30º57'59.41" N 30º46'3.02" E</w:t>
      </w:r>
    </w:p>
    <w:p w:rsidR="00290533" w:rsidRDefault="00290533" w:rsidP="00065475">
      <w:r>
        <w:rPr>
          <w:noProof/>
        </w:rPr>
        <w:drawing>
          <wp:inline distT="0" distB="0" distL="0" distR="0" wp14:anchorId="3A62565D" wp14:editId="090A1AB4">
            <wp:extent cx="2557989" cy="1988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63893" cy="19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533">
        <w:t xml:space="preserve"> </w:t>
      </w:r>
      <w:r>
        <w:object w:dxaOrig="6910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8pt;height:160.2pt" o:ole="">
            <v:imagedata r:id="rId5" o:title=""/>
          </v:shape>
          <o:OLEObject Type="Embed" ProgID="Unknown" ShapeID="_x0000_i1025" DrawAspect="Content" ObjectID="_1560919800" r:id="rId6"/>
        </w:object>
      </w:r>
    </w:p>
    <w:p w:rsidR="0022168C" w:rsidRDefault="0022168C" w:rsidP="00065475">
      <w:r>
        <w:t xml:space="preserve">Fig. Left. Sais on the Nile after </w:t>
      </w:r>
      <w:r w:rsidRPr="0022168C">
        <w:t>http://latitude.to/lat/30.96606/lng/30.76785</w:t>
      </w:r>
      <w:r>
        <w:t>. Fig. Sais reconstructed according to Jean-Claude Golvin,</w:t>
      </w:r>
      <w:r w:rsidRPr="0022168C">
        <w:t xml:space="preserve"> http://jeanclaudegolvin.com/sais-2/</w:t>
      </w:r>
      <w:r>
        <w:t>.</w:t>
      </w:r>
    </w:p>
    <w:p w:rsidR="00065475" w:rsidRDefault="00065475" w:rsidP="00065475">
      <w:r>
        <w:rPr>
          <w:rStyle w:val="Strong"/>
        </w:rPr>
        <w:t>Cultural Affiliation:</w:t>
      </w:r>
      <w:r>
        <w:t xml:space="preserve"> </w:t>
      </w:r>
      <w:r w:rsidR="001756A2">
        <w:t>Sais Period, Egypt</w:t>
      </w:r>
    </w:p>
    <w:p w:rsidR="00065475" w:rsidRDefault="00065475" w:rsidP="00065475">
      <w:r>
        <w:rPr>
          <w:rStyle w:val="Strong"/>
        </w:rPr>
        <w:t>Medi</w:t>
      </w:r>
      <w:r w:rsidR="001756A2">
        <w:rPr>
          <w:rStyle w:val="Strong"/>
        </w:rPr>
        <w:t>a</w:t>
      </w:r>
      <w:r>
        <w:rPr>
          <w:rStyle w:val="Strong"/>
        </w:rPr>
        <w:t>:</w:t>
      </w:r>
      <w:r>
        <w:t xml:space="preserve"> </w:t>
      </w:r>
      <w:r w:rsidR="00690997">
        <w:t>Cedar w</w:t>
      </w:r>
      <w:r w:rsidR="001756A2">
        <w:t xml:space="preserve">ood, </w:t>
      </w:r>
      <w:r w:rsidR="00504E74">
        <w:t>White (</w:t>
      </w:r>
      <w:r w:rsidR="001756A2">
        <w:t>Kaolin</w:t>
      </w:r>
      <w:r w:rsidR="00504E74">
        <w:t>)</w:t>
      </w:r>
      <w:bookmarkStart w:id="0" w:name="_GoBack"/>
      <w:bookmarkEnd w:id="0"/>
      <w:r w:rsidR="001756A2">
        <w:t xml:space="preserve">, </w:t>
      </w:r>
      <w:r w:rsidR="00690997">
        <w:t xml:space="preserve">Green (Malachite), Red (Cinnabar) and Black (Charcoal) </w:t>
      </w:r>
      <w:r w:rsidR="001756A2">
        <w:t xml:space="preserve">Pigment. </w:t>
      </w:r>
    </w:p>
    <w:p w:rsidR="00065475" w:rsidRPr="0022168C" w:rsidRDefault="00065475" w:rsidP="00065475">
      <w:pPr>
        <w:rPr>
          <w:rStyle w:val="Strong"/>
          <w:b w:val="0"/>
        </w:rPr>
      </w:pPr>
      <w:r>
        <w:rPr>
          <w:rStyle w:val="Strong"/>
        </w:rPr>
        <w:t xml:space="preserve">Dimensions: </w:t>
      </w:r>
      <w:r w:rsidR="001756A2" w:rsidRPr="0022168C">
        <w:rPr>
          <w:rStyle w:val="Strong"/>
          <w:b w:val="0"/>
        </w:rPr>
        <w:t>H 405.15mm, 15.22 in; W119.01 mm; 4.69 in</w:t>
      </w:r>
      <w:r>
        <w:rPr>
          <w:rFonts w:ascii="Open Sans" w:hAnsi="Open Sans"/>
          <w:b/>
          <w:bCs/>
          <w:color w:val="646673"/>
          <w:sz w:val="72"/>
          <w:szCs w:val="72"/>
          <w:shd w:val="clear" w:color="auto" w:fill="FFFFFF"/>
        </w:rPr>
        <w:br/>
      </w:r>
      <w:r>
        <w:rPr>
          <w:rStyle w:val="Strong"/>
        </w:rPr>
        <w:t xml:space="preserve">Weight: </w:t>
      </w:r>
      <w:r w:rsidR="00290533" w:rsidRPr="0022168C">
        <w:rPr>
          <w:rStyle w:val="Strong"/>
          <w:b w:val="0"/>
        </w:rPr>
        <w:t xml:space="preserve">1 kg 194 g; </w:t>
      </w:r>
      <w:r w:rsidR="001756A2" w:rsidRPr="0022168C">
        <w:rPr>
          <w:rStyle w:val="Strong"/>
          <w:b w:val="0"/>
        </w:rPr>
        <w:t>2 lb 10 oz</w:t>
      </w:r>
    </w:p>
    <w:p w:rsidR="00065475" w:rsidRDefault="00065475" w:rsidP="00065475">
      <w:r>
        <w:rPr>
          <w:rStyle w:val="Strong"/>
        </w:rPr>
        <w:t>Provenance:</w:t>
      </w:r>
      <w:r w:rsidR="00290533">
        <w:rPr>
          <w:rStyle w:val="Strong"/>
        </w:rPr>
        <w:t xml:space="preserve"> unknown</w:t>
      </w:r>
    </w:p>
    <w:p w:rsidR="00065475" w:rsidRPr="004043CB" w:rsidRDefault="00065475" w:rsidP="00065475">
      <w:pPr>
        <w:rPr>
          <w:b/>
        </w:rPr>
      </w:pPr>
      <w:r w:rsidRPr="004043CB">
        <w:rPr>
          <w:b/>
        </w:rPr>
        <w:t>Condition</w:t>
      </w:r>
      <w:r>
        <w:rPr>
          <w:b/>
        </w:rPr>
        <w:t>:</w:t>
      </w:r>
      <w:r w:rsidR="00290533">
        <w:rPr>
          <w:b/>
        </w:rPr>
        <w:t xml:space="preserve"> original</w:t>
      </w:r>
    </w:p>
    <w:p w:rsidR="00065475" w:rsidRPr="004043CB" w:rsidRDefault="00065475" w:rsidP="00065475">
      <w:pPr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065475" w:rsidRDefault="00065475" w:rsidP="00065475">
      <w:r w:rsidRPr="00050BD4">
        <w:rPr>
          <w:b/>
        </w:rPr>
        <w:t>References</w:t>
      </w:r>
    </w:p>
    <w:p w:rsidR="00290533" w:rsidRDefault="0022168C" w:rsidP="0022168C">
      <w:r>
        <w:t xml:space="preserve">Aubert, J.-F. et L. Aubert. 1974. </w:t>
      </w:r>
      <w:r>
        <w:rPr>
          <w:i/>
          <w:iCs/>
        </w:rPr>
        <w:t>Statuettes Egyptiennes: Chaouabtis, Ouchebtis.</w:t>
      </w:r>
      <w:r>
        <w:t xml:space="preserve"> Paris, 1974), p. 217, 234, 279-281;</w:t>
      </w:r>
    </w:p>
    <w:p w:rsidR="007378FA" w:rsidRDefault="007378FA" w:rsidP="00065475"/>
    <w:p w:rsidR="0022168C" w:rsidRDefault="0022168C" w:rsidP="00065475">
      <w:r>
        <w:t xml:space="preserve">Janes, Glenn. 2002. </w:t>
      </w:r>
      <w:r>
        <w:rPr>
          <w:i/>
          <w:iCs/>
        </w:rPr>
        <w:t>Shabtis. A Private View, Ancient Egyptian Funerary Statuettes in European Private Collections.</w:t>
      </w:r>
      <w:r>
        <w:t xml:space="preserve"> Paris: Cyb</w:t>
      </w:r>
      <w:r w:rsidR="00D31E73">
        <w:t>èle</w:t>
      </w:r>
      <w:r>
        <w:t>.</w:t>
      </w:r>
    </w:p>
    <w:p w:rsidR="0022168C" w:rsidRDefault="0022168C" w:rsidP="0022168C"/>
    <w:p w:rsidR="0022168C" w:rsidRDefault="0022168C" w:rsidP="00065475">
      <w:r>
        <w:t xml:space="preserve">Newberry, Percy E. 1930-1957. </w:t>
      </w:r>
      <w:r>
        <w:rPr>
          <w:i/>
          <w:iCs/>
        </w:rPr>
        <w:t>Funerary Statuettes and Model Sarcophagi.</w:t>
      </w:r>
      <w:r>
        <w:t xml:space="preserve"> </w:t>
      </w:r>
      <w:r w:rsidR="00D31E73">
        <w:rPr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 </w:t>
      </w:r>
      <w:r w:rsidR="00D31E73">
        <w:rPr>
          <w:rStyle w:val="itempublisher"/>
          <w:rFonts w:ascii="Arial Unicode MS" w:eastAsia="Arial Unicode MS" w:hAnsi="Arial Unicode MS" w:cs="Arial Unicode MS" w:hint="eastAsia"/>
          <w:color w:val="666666"/>
          <w:sz w:val="17"/>
          <w:szCs w:val="17"/>
          <w:shd w:val="clear" w:color="auto" w:fill="FFFFFF"/>
        </w:rPr>
        <w:t>Le Caire : Impr. de l'Institut français d'archéologie orientale.</w:t>
      </w:r>
    </w:p>
    <w:p w:rsidR="00290533" w:rsidRDefault="00065475" w:rsidP="00065475">
      <w:r>
        <w:t xml:space="preserve">Schneider, </w:t>
      </w:r>
      <w:r w:rsidR="00290533">
        <w:t xml:space="preserve">Hans D. 1977. </w:t>
      </w:r>
      <w:r>
        <w:rPr>
          <w:i/>
          <w:iCs/>
        </w:rPr>
        <w:t>Shabtis - An Introduction to the History of Ancient Egyptian Funerary Statuettes. With a Catalogue of the Collection of Shabtis in the National Museum of Leiden</w:t>
      </w:r>
      <w:r>
        <w:t>. (3 volumes, Leiden</w:t>
      </w:r>
      <w:r w:rsidR="00290533">
        <w:t>:</w:t>
      </w:r>
      <w:r>
        <w:t xml:space="preserve"> </w:t>
      </w:r>
      <w:r w:rsidR="0022168C">
        <w:t>Rijksmuseum van Oudheden Te Leiden.</w:t>
      </w:r>
      <w:r>
        <w:br/>
      </w:r>
    </w:p>
    <w:p w:rsidR="0022168C" w:rsidRDefault="00065475" w:rsidP="00065475">
      <w:r>
        <w:t>Schlögl</w:t>
      </w:r>
      <w:r w:rsidR="00290533">
        <w:t>, Hermann</w:t>
      </w:r>
      <w:r>
        <w:t xml:space="preserve"> </w:t>
      </w:r>
      <w:r w:rsidR="00290533">
        <w:t xml:space="preserve">and </w:t>
      </w:r>
      <w:r>
        <w:t>Andreas Brodbeck</w:t>
      </w:r>
      <w:r w:rsidR="00290533">
        <w:t>. 1990.</w:t>
      </w:r>
      <w:r>
        <w:t xml:space="preserve"> </w:t>
      </w:r>
      <w:r>
        <w:rPr>
          <w:i/>
          <w:iCs/>
        </w:rPr>
        <w:t>Ägyptische Totenfiguren aus öffentlichen und privaten Sammlungen der Schweiz</w:t>
      </w:r>
      <w:r w:rsidR="00290533">
        <w:rPr>
          <w:i/>
          <w:iCs/>
        </w:rPr>
        <w:t>.</w:t>
      </w:r>
      <w:r w:rsidR="00290533">
        <w:t xml:space="preserve"> </w:t>
      </w:r>
      <w:r>
        <w:t>Orbis Biblicus et Orientali</w:t>
      </w:r>
      <w:r w:rsidR="00290533">
        <w:t xml:space="preserve">s, Series Archeologica, 7. </w:t>
      </w:r>
      <w:r>
        <w:t>Göttingen, Vandenhoeck &amp; Ruprecht; Freiburg S</w:t>
      </w:r>
      <w:r w:rsidR="00290533">
        <w:t>chweiz, Universitätsverlag.</w:t>
      </w:r>
      <w:r>
        <w:t xml:space="preserve"> </w:t>
      </w:r>
      <w:r>
        <w:br/>
      </w:r>
      <w:r>
        <w:br/>
      </w:r>
    </w:p>
    <w:p w:rsidR="00065475" w:rsidRDefault="00065475" w:rsidP="00065475">
      <w:r>
        <w:br/>
      </w:r>
    </w:p>
    <w:sectPr w:rsidR="00065475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47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9FC"/>
    <w:rsid w:val="00007490"/>
    <w:rsid w:val="000078F0"/>
    <w:rsid w:val="000100D0"/>
    <w:rsid w:val="0001642A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475"/>
    <w:rsid w:val="00065636"/>
    <w:rsid w:val="00065DB6"/>
    <w:rsid w:val="000676A5"/>
    <w:rsid w:val="00067A3C"/>
    <w:rsid w:val="00071CD0"/>
    <w:rsid w:val="00073BC0"/>
    <w:rsid w:val="000744B6"/>
    <w:rsid w:val="00076744"/>
    <w:rsid w:val="00076E35"/>
    <w:rsid w:val="000806A9"/>
    <w:rsid w:val="0008237A"/>
    <w:rsid w:val="000827D7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56D29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07BF"/>
    <w:rsid w:val="0017127C"/>
    <w:rsid w:val="00174ACB"/>
    <w:rsid w:val="001756A2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411B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44AA"/>
    <w:rsid w:val="001C5409"/>
    <w:rsid w:val="001C5661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7D1D"/>
    <w:rsid w:val="00221076"/>
    <w:rsid w:val="002212D0"/>
    <w:rsid w:val="0022168C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2AA9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053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F6B"/>
    <w:rsid w:val="002D09F6"/>
    <w:rsid w:val="002D2373"/>
    <w:rsid w:val="002D29B3"/>
    <w:rsid w:val="002D3A6D"/>
    <w:rsid w:val="002D4157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094"/>
    <w:rsid w:val="003D350A"/>
    <w:rsid w:val="003D4356"/>
    <w:rsid w:val="003D497E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7D5"/>
    <w:rsid w:val="003F098C"/>
    <w:rsid w:val="003F2E56"/>
    <w:rsid w:val="003F3643"/>
    <w:rsid w:val="003F3682"/>
    <w:rsid w:val="003F3CC7"/>
    <w:rsid w:val="003F5F57"/>
    <w:rsid w:val="00400160"/>
    <w:rsid w:val="0040056B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968B3"/>
    <w:rsid w:val="004A0CAD"/>
    <w:rsid w:val="004A0F98"/>
    <w:rsid w:val="004A26C9"/>
    <w:rsid w:val="004A58F7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F0A37"/>
    <w:rsid w:val="004F7A42"/>
    <w:rsid w:val="00502CB4"/>
    <w:rsid w:val="00504E7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9661F"/>
    <w:rsid w:val="005A213D"/>
    <w:rsid w:val="005A387C"/>
    <w:rsid w:val="005A4059"/>
    <w:rsid w:val="005A4543"/>
    <w:rsid w:val="005A5569"/>
    <w:rsid w:val="005A5D41"/>
    <w:rsid w:val="005A7504"/>
    <w:rsid w:val="005A7ED9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C725A"/>
    <w:rsid w:val="005D0484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3989"/>
    <w:rsid w:val="00625234"/>
    <w:rsid w:val="00626336"/>
    <w:rsid w:val="00627E18"/>
    <w:rsid w:val="00630135"/>
    <w:rsid w:val="00630740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5DB"/>
    <w:rsid w:val="00687DBB"/>
    <w:rsid w:val="00690073"/>
    <w:rsid w:val="006901F9"/>
    <w:rsid w:val="00690997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B75E2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35D0"/>
    <w:rsid w:val="00733ECC"/>
    <w:rsid w:val="007344D3"/>
    <w:rsid w:val="00735C90"/>
    <w:rsid w:val="00736101"/>
    <w:rsid w:val="0073617A"/>
    <w:rsid w:val="00736343"/>
    <w:rsid w:val="007378FA"/>
    <w:rsid w:val="00740F00"/>
    <w:rsid w:val="00742E1A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8E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27D97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FD6"/>
    <w:rsid w:val="008644F9"/>
    <w:rsid w:val="008645D9"/>
    <w:rsid w:val="008654BF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0097"/>
    <w:rsid w:val="00895A36"/>
    <w:rsid w:val="00896448"/>
    <w:rsid w:val="00896F72"/>
    <w:rsid w:val="00897F0C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1162"/>
    <w:rsid w:val="008C230C"/>
    <w:rsid w:val="008C4D54"/>
    <w:rsid w:val="008C6834"/>
    <w:rsid w:val="008C7830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2DB7"/>
    <w:rsid w:val="008E5E6A"/>
    <w:rsid w:val="008F1B52"/>
    <w:rsid w:val="008F4ABA"/>
    <w:rsid w:val="008F4BD9"/>
    <w:rsid w:val="008F4C9D"/>
    <w:rsid w:val="008F5D0A"/>
    <w:rsid w:val="008F6031"/>
    <w:rsid w:val="008F6FBC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4443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D42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B57EE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4114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E1"/>
    <w:rsid w:val="00A746F5"/>
    <w:rsid w:val="00A76746"/>
    <w:rsid w:val="00A80CB9"/>
    <w:rsid w:val="00A81620"/>
    <w:rsid w:val="00A8168A"/>
    <w:rsid w:val="00A85589"/>
    <w:rsid w:val="00A876F1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3936"/>
    <w:rsid w:val="00B65113"/>
    <w:rsid w:val="00B66F6B"/>
    <w:rsid w:val="00B70DBE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7B45"/>
    <w:rsid w:val="00BF499A"/>
    <w:rsid w:val="00BF4A2C"/>
    <w:rsid w:val="00BF5840"/>
    <w:rsid w:val="00BF65DF"/>
    <w:rsid w:val="00BF6B92"/>
    <w:rsid w:val="00C00451"/>
    <w:rsid w:val="00C076EA"/>
    <w:rsid w:val="00C10825"/>
    <w:rsid w:val="00C10877"/>
    <w:rsid w:val="00C12346"/>
    <w:rsid w:val="00C16D12"/>
    <w:rsid w:val="00C21B68"/>
    <w:rsid w:val="00C25F22"/>
    <w:rsid w:val="00C26AB0"/>
    <w:rsid w:val="00C315F5"/>
    <w:rsid w:val="00C31C60"/>
    <w:rsid w:val="00C32DEC"/>
    <w:rsid w:val="00C3313A"/>
    <w:rsid w:val="00C333D8"/>
    <w:rsid w:val="00C34029"/>
    <w:rsid w:val="00C3489C"/>
    <w:rsid w:val="00C34F51"/>
    <w:rsid w:val="00C36100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4639"/>
    <w:rsid w:val="00C86B6F"/>
    <w:rsid w:val="00C920CA"/>
    <w:rsid w:val="00C9223A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C74BF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3CB8"/>
    <w:rsid w:val="00D04530"/>
    <w:rsid w:val="00D04CBB"/>
    <w:rsid w:val="00D102D5"/>
    <w:rsid w:val="00D13156"/>
    <w:rsid w:val="00D1334D"/>
    <w:rsid w:val="00D13429"/>
    <w:rsid w:val="00D139B0"/>
    <w:rsid w:val="00D13DF2"/>
    <w:rsid w:val="00D162F1"/>
    <w:rsid w:val="00D16FC5"/>
    <w:rsid w:val="00D220CB"/>
    <w:rsid w:val="00D22F09"/>
    <w:rsid w:val="00D23386"/>
    <w:rsid w:val="00D24401"/>
    <w:rsid w:val="00D26EAE"/>
    <w:rsid w:val="00D27811"/>
    <w:rsid w:val="00D307F3"/>
    <w:rsid w:val="00D30A65"/>
    <w:rsid w:val="00D31E73"/>
    <w:rsid w:val="00D3264B"/>
    <w:rsid w:val="00D35730"/>
    <w:rsid w:val="00D35A6C"/>
    <w:rsid w:val="00D37448"/>
    <w:rsid w:val="00D377BE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D5F76"/>
    <w:rsid w:val="00DE2580"/>
    <w:rsid w:val="00DE2682"/>
    <w:rsid w:val="00DE29E7"/>
    <w:rsid w:val="00DE3C4E"/>
    <w:rsid w:val="00DE5C32"/>
    <w:rsid w:val="00DE73D9"/>
    <w:rsid w:val="00DF1C60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15C1C"/>
    <w:rsid w:val="00E2131B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461AD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E1832"/>
    <w:rsid w:val="00EF33E1"/>
    <w:rsid w:val="00EF5973"/>
    <w:rsid w:val="00EF737E"/>
    <w:rsid w:val="00F002E2"/>
    <w:rsid w:val="00F02382"/>
    <w:rsid w:val="00F04553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4BA68"/>
  <w15:chartTrackingRefBased/>
  <w15:docId w15:val="{EEE5F486-C022-4E70-BA3F-9174E4248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475"/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06547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C74BF"/>
    <w:rPr>
      <w:color w:val="0000FF"/>
      <w:u w:val="single"/>
    </w:rPr>
  </w:style>
  <w:style w:type="character" w:customStyle="1" w:styleId="exlavailabilitycallnumber">
    <w:name w:val="exlavailabilitycallnumber"/>
    <w:basedOn w:val="DefaultParagraphFont"/>
    <w:rsid w:val="00733ECC"/>
  </w:style>
  <w:style w:type="character" w:customStyle="1" w:styleId="itempublisher">
    <w:name w:val="itempublisher"/>
    <w:basedOn w:val="DefaultParagraphFont"/>
    <w:rsid w:val="00D31E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2017-07-06T21:11:00Z</dcterms:created>
  <dcterms:modified xsi:type="dcterms:W3CDTF">2017-07-07T12:03:00Z</dcterms:modified>
</cp:coreProperties>
</file>