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35859">
      <w:bookmarkStart w:id="0" w:name="_GoBack"/>
      <w:bookmarkEnd w:id="0"/>
      <w:r>
        <w:t>A 183 Afr-Egy-Amulet-Anubis-Faience-</w:t>
      </w:r>
      <w:r w:rsidR="00C4420B">
        <w:rPr>
          <w:rStyle w:val="Strong"/>
        </w:rPr>
        <w:t>192</w:t>
      </w:r>
      <w:r>
        <w:rPr>
          <w:rStyle w:val="Strong"/>
        </w:rPr>
        <w:t>.16 mm</w:t>
      </w:r>
    </w:p>
    <w:p w:rsidR="00935859" w:rsidRDefault="00935859"/>
    <w:p w:rsidR="00935859" w:rsidRDefault="00935859" w:rsidP="00935859">
      <w:pPr>
        <w:rPr>
          <w:rStyle w:val="Strong"/>
        </w:rPr>
      </w:pPr>
      <w:r>
        <w:rPr>
          <w:rStyle w:val="Strong"/>
        </w:rPr>
        <w:t>Case No.: 2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Accession Number: A183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Formal L</w:t>
      </w:r>
      <w:r w:rsidR="00C4420B">
        <w:rPr>
          <w:rStyle w:val="Strong"/>
        </w:rPr>
        <w:t>abel: Anubis Amulet Faience 192</w:t>
      </w:r>
      <w:r>
        <w:rPr>
          <w:rStyle w:val="Strong"/>
        </w:rPr>
        <w:t>.16 mm</w:t>
      </w:r>
    </w:p>
    <w:p w:rsidR="003F0407" w:rsidRDefault="00935859" w:rsidP="00935859">
      <w:pPr>
        <w:pStyle w:val="NormalWeb"/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 xml:space="preserve">This aquamarine faience (glazed ceramic) amulet represents the jackal god Anubis </w:t>
      </w:r>
      <w:r>
        <w:rPr>
          <w:rStyle w:val="st"/>
        </w:rPr>
        <w:t>associated with mummification and the afterlife</w:t>
      </w:r>
      <w:r w:rsidR="002E715D">
        <w:rPr>
          <w:rStyle w:val="st"/>
        </w:rPr>
        <w:t xml:space="preserve"> </w:t>
      </w:r>
      <w:r w:rsidR="002E715D">
        <w:t>in his anthropomorphic form, wearing a kilt</w:t>
      </w:r>
      <w:r>
        <w:rPr>
          <w:rStyle w:val="st"/>
        </w:rPr>
        <w:t xml:space="preserve">. </w:t>
      </w:r>
      <w:r w:rsidR="003F0407">
        <w:rPr>
          <w:rStyle w:val="st"/>
        </w:rPr>
        <w:t xml:space="preserve">This amulet is possibly from the </w:t>
      </w:r>
      <w:r w:rsidR="003F0407">
        <w:t xml:space="preserve">Anubieion on the </w:t>
      </w:r>
      <w:r w:rsidR="003F0407" w:rsidRPr="00935859">
        <w:rPr>
          <w:smallCaps/>
          <w:color w:val="000000" w:themeColor="text1"/>
        </w:rPr>
        <w:t>ne</w:t>
      </w:r>
      <w:r w:rsidR="003F0407">
        <w:t xml:space="preserve"> edge of the Saqqara cemeteries. </w:t>
      </w:r>
    </w:p>
    <w:p w:rsidR="00935859" w:rsidRPr="00472C5F" w:rsidRDefault="00935859" w:rsidP="00472C5F">
      <w:pPr>
        <w:pStyle w:val="NormalWeb"/>
        <w:rPr>
          <w:rStyle w:val="Strong"/>
          <w:b w:val="0"/>
          <w:bCs w:val="0"/>
        </w:rPr>
      </w:pPr>
      <w:r>
        <w:t>Amulets are believed to co</w:t>
      </w:r>
      <w:r w:rsidR="003F0407">
        <w:t xml:space="preserve">nfer some </w:t>
      </w:r>
      <w:r w:rsidR="00472C5F">
        <w:t>advantage</w:t>
      </w:r>
      <w:r w:rsidR="003F0407">
        <w:t xml:space="preserve"> to the wearer</w:t>
      </w:r>
      <w:r w:rsidR="00472C5F">
        <w:t>. In this case,</w:t>
      </w:r>
      <w:r>
        <w:t xml:space="preserve"> o</w:t>
      </w:r>
      <w:r w:rsidRPr="00935859">
        <w:t xml:space="preserve">ne of </w:t>
      </w:r>
      <w:r>
        <w:t>Anubis’</w:t>
      </w:r>
      <w:r w:rsidRPr="00935859">
        <w:t xml:space="preserve"> r</w:t>
      </w:r>
      <w:r w:rsidR="00472C5F">
        <w:t>ô</w:t>
      </w:r>
      <w:r w:rsidRPr="00935859">
        <w:t>les was ''The Guardian of the Scales''</w:t>
      </w:r>
      <w:r>
        <w:t xml:space="preserve"> </w:t>
      </w:r>
      <w:r w:rsidR="00472C5F">
        <w:t>who weighed</w:t>
      </w:r>
      <w:r w:rsidR="003F0407">
        <w:t xml:space="preserve"> one’s</w:t>
      </w:r>
      <w:r w:rsidRPr="00935859">
        <w:t xml:space="preserve"> heart on a </w:t>
      </w:r>
      <w:r w:rsidR="003F0407">
        <w:t xml:space="preserve">sacred scale to see if it </w:t>
      </w:r>
      <w:r w:rsidR="00472C5F">
        <w:t>wa</w:t>
      </w:r>
      <w:r w:rsidR="003F0407">
        <w:t xml:space="preserve">s </w:t>
      </w:r>
      <w:r w:rsidR="008E5EF1">
        <w:t>too heavy</w:t>
      </w:r>
      <w:r w:rsidR="003F0407">
        <w:t xml:space="preserve">. </w:t>
      </w:r>
      <w:r w:rsidR="008E5EF1">
        <w:t xml:space="preserve">According to the </w:t>
      </w:r>
      <w:r w:rsidR="008E5EF1" w:rsidRPr="00472C5F">
        <w:rPr>
          <w:i/>
        </w:rPr>
        <w:t>Book of the Dead</w:t>
      </w:r>
      <w:r w:rsidR="008E5EF1">
        <w:t xml:space="preserve"> i</w:t>
      </w:r>
      <w:r w:rsidR="003F0407">
        <w:t xml:space="preserve">f it </w:t>
      </w:r>
      <w:r w:rsidR="00472C5F">
        <w:t>w</w:t>
      </w:r>
      <w:r w:rsidR="008E5EF1">
        <w:t>ere</w:t>
      </w:r>
      <w:r w:rsidR="003F0407">
        <w:t xml:space="preserve"> </w:t>
      </w:r>
      <w:r w:rsidR="00472C5F">
        <w:t>lighter</w:t>
      </w:r>
      <w:r w:rsidR="003F0407">
        <w:t xml:space="preserve"> </w:t>
      </w:r>
      <w:r w:rsidR="008E5EF1">
        <w:t xml:space="preserve">than a feather </w:t>
      </w:r>
      <w:r w:rsidRPr="00935859">
        <w:t xml:space="preserve">Anubis </w:t>
      </w:r>
      <w:r w:rsidR="00472C5F">
        <w:t>would allow</w:t>
      </w:r>
      <w:r w:rsidRPr="00935859">
        <w:t xml:space="preserve"> the person </w:t>
      </w:r>
      <w:r>
        <w:t xml:space="preserve">to live </w:t>
      </w:r>
      <w:r w:rsidR="00472C5F">
        <w:t>eternally</w:t>
      </w:r>
      <w:r w:rsidR="003F0407">
        <w:t xml:space="preserve"> </w:t>
      </w:r>
      <w:r>
        <w:t xml:space="preserve">(Petrie 1914). </w:t>
      </w:r>
    </w:p>
    <w:p w:rsidR="00935859" w:rsidRDefault="00935859" w:rsidP="00935859">
      <w:r>
        <w:rPr>
          <w:rStyle w:val="Strong"/>
        </w:rPr>
        <w:t>LC Classification: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EBEBEB"/>
        </w:rPr>
        <w:t>DT62.U84</w:t>
      </w:r>
    </w:p>
    <w:p w:rsidR="00935859" w:rsidRDefault="00935859" w:rsidP="00935859">
      <w:r>
        <w:rPr>
          <w:rStyle w:val="Strong"/>
        </w:rPr>
        <w:t>Date or Time Horizon:</w:t>
      </w:r>
      <w:r>
        <w:t xml:space="preserve"> Late period, 525-334 BCE.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 xml:space="preserve">Geographical Area: </w:t>
      </w:r>
      <w:r w:rsidR="004E3555">
        <w:rPr>
          <w:rStyle w:val="Strong"/>
        </w:rPr>
        <w:t>Saqqara, Egypt</w:t>
      </w:r>
    </w:p>
    <w:p w:rsidR="00935859" w:rsidRDefault="00935859" w:rsidP="00935859">
      <w:r>
        <w:rPr>
          <w:rStyle w:val="Strong"/>
        </w:rPr>
        <w:t>Map, GPS Coordinates:</w:t>
      </w:r>
      <w:r>
        <w:t xml:space="preserve"> </w:t>
      </w:r>
      <w:r w:rsidR="004E3555" w:rsidRPr="004E3555">
        <w:t xml:space="preserve">29.85000 31.21667; </w:t>
      </w:r>
      <w:hyperlink r:id="rId5" w:history="1">
        <w:r w:rsidR="004E3555" w:rsidRPr="004E3555">
          <w:rPr>
            <w:rStyle w:val="Hyperlink"/>
          </w:rPr>
          <w:t>29°52′16″N 31°12′59″E</w:t>
        </w:r>
      </w:hyperlink>
    </w:p>
    <w:p w:rsidR="004E3555" w:rsidRDefault="00935859" w:rsidP="004E3555">
      <w:r>
        <w:rPr>
          <w:rStyle w:val="Strong"/>
        </w:rPr>
        <w:t>Cultural Affiliation:</w:t>
      </w:r>
      <w:r>
        <w:t xml:space="preserve"> </w:t>
      </w:r>
      <w:r w:rsidR="004E3555">
        <w:t>Late Period, Egypt, 525-334 BCE.</w:t>
      </w:r>
    </w:p>
    <w:p w:rsidR="00935859" w:rsidRPr="004E3555" w:rsidRDefault="004E3555" w:rsidP="00935859">
      <w:pPr>
        <w:rPr>
          <w:b/>
          <w:bCs/>
        </w:rPr>
      </w:pPr>
      <w:r>
        <w:rPr>
          <w:rStyle w:val="Strong"/>
        </w:rPr>
        <w:t>Geographical Area: Saqqara, Egypt</w:t>
      </w:r>
    </w:p>
    <w:p w:rsidR="00935859" w:rsidRDefault="00935859" w:rsidP="00935859">
      <w:r>
        <w:rPr>
          <w:rStyle w:val="Strong"/>
        </w:rPr>
        <w:t>Medium:</w:t>
      </w:r>
      <w:r>
        <w:t xml:space="preserve"> Faience</w:t>
      </w:r>
    </w:p>
    <w:p w:rsidR="00935859" w:rsidRDefault="00935859" w:rsidP="00935859">
      <w:pPr>
        <w:rPr>
          <w:rStyle w:val="Strong"/>
        </w:rPr>
      </w:pPr>
      <w:r>
        <w:rPr>
          <w:rStyle w:val="Strong"/>
        </w:rPr>
        <w:t>Dimensions: H 192.16 mm, 7.57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935859" w:rsidRDefault="00935859" w:rsidP="00935859">
      <w:r>
        <w:rPr>
          <w:rStyle w:val="Strong"/>
        </w:rPr>
        <w:t>Provenance: old European collection</w:t>
      </w:r>
    </w:p>
    <w:p w:rsidR="00935859" w:rsidRPr="004043CB" w:rsidRDefault="00935859" w:rsidP="00935859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 original</w:t>
      </w:r>
    </w:p>
    <w:p w:rsidR="00935859" w:rsidRDefault="00935859" w:rsidP="0093585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8E5EF1" w:rsidRPr="00472C5F" w:rsidRDefault="00C4420B" w:rsidP="008E5EF1">
      <w:pPr>
        <w:pStyle w:val="NormalWeb"/>
        <w:rPr>
          <w:rStyle w:val="Strong"/>
          <w:b w:val="0"/>
          <w:bCs w:val="0"/>
        </w:rPr>
      </w:pPr>
      <w:r>
        <w:t>“</w:t>
      </w:r>
      <w:r w:rsidR="00935859">
        <w:t xml:space="preserve">The earliest jackal-form amulet, made of bone, was found in a </w:t>
      </w:r>
      <w:r w:rsidR="004E3555">
        <w:t>P</w:t>
      </w:r>
      <w:r w:rsidR="00935859">
        <w:t>re</w:t>
      </w:r>
      <w:r w:rsidR="004E3555">
        <w:t>-</w:t>
      </w:r>
      <w:r w:rsidR="00935859">
        <w:t>dynastic Naqada 2 burial and shows the animal couchant, in profile and with the scored markings characteristic of contemporary amulets. By the Sixth Dynasty glazed-composition walking jackals and, rather more significantly, jackal-headed walking human figures occur, the earliest amuletic representation of an animal-headed deity. . . Thereafter these two forms and the jackal-headed deity, both walking and seated, continued to be made until the end of the dynastic history, generally in glazed composition or metal.</w:t>
      </w:r>
      <w:r w:rsidR="00472C5F">
        <w:t xml:space="preserve"> </w:t>
      </w:r>
      <w:r>
        <w:t xml:space="preserve">… </w:t>
      </w:r>
      <w:r w:rsidR="00472C5F">
        <w:t>Amulets representing major gods remained comparatively rare until the end of the New Kingdom, when they suddenly flourished, and became as a group the most prevalent type until the end of the Late</w:t>
      </w:r>
      <w:r>
        <w:t xml:space="preserve"> Period</w:t>
      </w:r>
      <w:r w:rsidRPr="00C4420B">
        <w:t xml:space="preserve"> </w:t>
      </w:r>
      <w:r>
        <w:t xml:space="preserve">Anubieion” </w:t>
      </w:r>
      <w:r w:rsidR="00472C5F">
        <w:t>Andrews 1994: 46-47).</w:t>
      </w:r>
      <w:r w:rsidR="008E5EF1">
        <w:t xml:space="preserve"> A</w:t>
      </w:r>
      <w:r w:rsidR="008E5EF1" w:rsidRPr="00935859">
        <w:t xml:space="preserve"> cemetery of mummified jackals was discovered </w:t>
      </w:r>
      <w:r w:rsidR="008E5EF1">
        <w:t xml:space="preserve">along the </w:t>
      </w:r>
      <w:r w:rsidR="008E5EF1" w:rsidRPr="00935859">
        <w:rPr>
          <w:smallCaps/>
          <w:color w:val="000000" w:themeColor="text1"/>
        </w:rPr>
        <w:t>ne</w:t>
      </w:r>
      <w:r w:rsidR="008E5EF1">
        <w:t xml:space="preserve"> edge of the Saqqara cemeteries (Giddy 1992) next to two huge adjacent brick shrines, the Anubieion in the </w:t>
      </w:r>
      <w:r w:rsidR="008E5EF1" w:rsidRPr="003F0407">
        <w:rPr>
          <w:smallCaps/>
        </w:rPr>
        <w:t>n</w:t>
      </w:r>
      <w:r w:rsidR="008E5EF1">
        <w:t xml:space="preserve"> and the Bubasteion in the </w:t>
      </w:r>
      <w:r w:rsidR="008E5EF1" w:rsidRPr="00935859">
        <w:rPr>
          <w:smallCaps/>
        </w:rPr>
        <w:t>s</w:t>
      </w:r>
      <w:r w:rsidR="008E5EF1">
        <w:rPr>
          <w:smallCaps/>
        </w:rPr>
        <w:t xml:space="preserve"> (</w:t>
      </w:r>
      <w:r w:rsidR="008E5EF1" w:rsidRPr="008E5EF1">
        <w:t>Jeffreys and Smith 1990</w:t>
      </w:r>
      <w:r w:rsidR="008E5EF1">
        <w:t xml:space="preserve">). These structures date to the reign of King </w:t>
      </w:r>
      <w:r w:rsidR="008E5EF1" w:rsidRPr="00935859">
        <w:t>Ahmose</w:t>
      </w:r>
      <w:r w:rsidR="008E5EF1">
        <w:t xml:space="preserve"> (570-526 BC - 26th Dynasty), who was responsible for building the town of </w:t>
      </w:r>
      <w:r w:rsidR="008E5EF1" w:rsidRPr="00935859">
        <w:t>Naukratis</w:t>
      </w:r>
      <w:r w:rsidR="008E5EF1">
        <w:t>, the Greek colony in Egypt and the main trading point between Egyptians and Greeks. Greek influence may have encouraged the flourishing of amulets</w:t>
      </w:r>
      <w:r w:rsidR="00EC6937">
        <w:t xml:space="preserve"> such as this one</w:t>
      </w:r>
      <w:r w:rsidR="008E5EF1">
        <w:t xml:space="preserve"> in the delta during the Late Period.</w:t>
      </w:r>
    </w:p>
    <w:p w:rsidR="00935859" w:rsidRDefault="00935859" w:rsidP="00472C5F">
      <w:r>
        <w:br/>
      </w:r>
      <w:r>
        <w:br/>
      </w:r>
    </w:p>
    <w:p w:rsidR="00935859" w:rsidRDefault="00935859" w:rsidP="00935859">
      <w:pPr>
        <w:rPr>
          <w:b/>
        </w:rPr>
      </w:pPr>
      <w:r w:rsidRPr="00050BD4">
        <w:rPr>
          <w:b/>
        </w:rPr>
        <w:t>References</w:t>
      </w:r>
      <w:r>
        <w:rPr>
          <w:b/>
        </w:rPr>
        <w:t>:</w:t>
      </w:r>
    </w:p>
    <w:p w:rsidR="00935859" w:rsidRDefault="00320291" w:rsidP="00935859">
      <w:r>
        <w:t xml:space="preserve">Andrews, Carol. 1994. </w:t>
      </w:r>
      <w:r>
        <w:rPr>
          <w:i/>
          <w:iCs/>
        </w:rPr>
        <w:t>Amulets of Ancient Egypt</w:t>
      </w:r>
      <w:r>
        <w:t>. Austin: University of Texas Press.</w:t>
      </w:r>
      <w:r>
        <w:br/>
        <w:t xml:space="preserve"> </w:t>
      </w:r>
    </w:p>
    <w:p w:rsidR="00935859" w:rsidRDefault="00935859" w:rsidP="00935859">
      <w:pPr>
        <w:rPr>
          <w:b/>
        </w:rPr>
      </w:pPr>
      <w:r>
        <w:t xml:space="preserve">Coulson, William D. E. and Albert Leonard. 1996. </w:t>
      </w:r>
      <w:r w:rsidRPr="00935859">
        <w:rPr>
          <w:i/>
        </w:rPr>
        <w:t>Cities of the Delta Pt.1, Naukratis. preliminary report on the 1977-78 and 1980 seasons.</w:t>
      </w:r>
      <w:r>
        <w:t xml:space="preserve"> Malibu.</w:t>
      </w:r>
    </w:p>
    <w:p w:rsidR="00935859" w:rsidRDefault="00935859" w:rsidP="00935859"/>
    <w:p w:rsidR="00935859" w:rsidRDefault="00935859" w:rsidP="00935859">
      <w:r>
        <w:t xml:space="preserve">Giddy, Lisa L. 1992. </w:t>
      </w:r>
      <w:r w:rsidRPr="00935859">
        <w:rPr>
          <w:i/>
        </w:rPr>
        <w:t>The Anubieion at Saqqara II</w:t>
      </w:r>
      <w:r>
        <w:t>. The Cemeteries. London</w:t>
      </w:r>
    </w:p>
    <w:p w:rsidR="00935859" w:rsidRDefault="00935859" w:rsidP="00935859"/>
    <w:p w:rsidR="00320291" w:rsidRPr="00320291" w:rsidRDefault="00935859" w:rsidP="00320291">
      <w:r w:rsidRPr="00935859">
        <w:rPr>
          <w:rFonts w:hint="eastAsia"/>
        </w:rPr>
        <w:t>Janes, Glenn. 2002</w:t>
      </w:r>
      <w:r w:rsidR="008E5EF1">
        <w:rPr>
          <w:rFonts w:hint="eastAsia"/>
          <w:i/>
        </w:rPr>
        <w:t>. Shabtis, a private view</w:t>
      </w:r>
      <w:r w:rsidRPr="00935859">
        <w:rPr>
          <w:rFonts w:hint="eastAsia"/>
          <w:i/>
        </w:rPr>
        <w:t>: ancient Egyptian funerary statuettes in European private collections</w:t>
      </w:r>
      <w:r w:rsidRPr="00935859">
        <w:rPr>
          <w:rFonts w:hint="eastAsia"/>
        </w:rPr>
        <w:t xml:space="preserve">; photography Tom Bangbala. Paris : </w:t>
      </w:r>
      <w:r w:rsidRPr="00320291">
        <w:rPr>
          <w:rFonts w:hint="eastAsia"/>
        </w:rPr>
        <w:t>Cybèle.</w:t>
      </w:r>
    </w:p>
    <w:p w:rsidR="00320291" w:rsidRPr="00320291" w:rsidRDefault="00320291" w:rsidP="00320291"/>
    <w:p w:rsidR="00320291" w:rsidRPr="00320291" w:rsidRDefault="00320291" w:rsidP="00320291">
      <w:r w:rsidRPr="00320291">
        <w:t>Jeffreys, David G. and Henry Sidney Smith. 1990.</w:t>
      </w:r>
      <w:r>
        <w:t xml:space="preserve"> </w:t>
      </w:r>
      <w:r w:rsidRPr="00320291">
        <w:rPr>
          <w:i/>
        </w:rPr>
        <w:t>The Anubieion at Saqqāra. 1, The settlement and the temple precinct.</w:t>
      </w:r>
      <w:r w:rsidRPr="00320291">
        <w:t> London: Egypt Exploration Society.</w:t>
      </w:r>
    </w:p>
    <w:p w:rsidR="00320291" w:rsidRPr="00320291" w:rsidRDefault="00320291" w:rsidP="00320291"/>
    <w:p w:rsidR="00320291" w:rsidRPr="00320291" w:rsidRDefault="00320291" w:rsidP="00320291">
      <w:r w:rsidRPr="00320291">
        <w:t xml:space="preserve">Jeffreys, David G. and Henry Sidney Smith. 1978-1981. </w:t>
      </w:r>
      <w:r>
        <w:t>“</w:t>
      </w:r>
      <w:r w:rsidRPr="00320291">
        <w:t>The Anubieion, North Saqqara</w:t>
      </w:r>
      <w:r>
        <w:t xml:space="preserve">,” </w:t>
      </w:r>
      <w:r w:rsidRPr="00320291">
        <w:rPr>
          <w:i/>
        </w:rPr>
        <w:t>Journal of Egyptian Archeology</w:t>
      </w:r>
      <w:r w:rsidRPr="00320291">
        <w:t>. (</w:t>
      </w:r>
      <w:r w:rsidRPr="00320291">
        <w:rPr>
          <w:i/>
        </w:rPr>
        <w:t>JEA</w:t>
      </w:r>
      <w:r w:rsidRPr="00320291">
        <w:t>) No. 64, 1978, pp. 10-21; </w:t>
      </w:r>
      <w:r w:rsidRPr="00320291">
        <w:rPr>
          <w:i/>
        </w:rPr>
        <w:t>JEA</w:t>
      </w:r>
      <w:r w:rsidRPr="00320291">
        <w:t xml:space="preserve"> 65, 1979, pp. 17-29; </w:t>
      </w:r>
      <w:r w:rsidRPr="00320291">
        <w:rPr>
          <w:i/>
        </w:rPr>
        <w:t>JEA</w:t>
      </w:r>
      <w:r w:rsidRPr="00320291">
        <w:t xml:space="preserve"> 66 , 1980, pp. 17-27; </w:t>
      </w:r>
      <w:r w:rsidRPr="00320291">
        <w:rPr>
          <w:i/>
        </w:rPr>
        <w:t>JEA</w:t>
      </w:r>
      <w:r w:rsidRPr="00320291">
        <w:t xml:space="preserve"> 67 , 1981, pp. 21-23</w:t>
      </w:r>
      <w:r>
        <w:t>.</w:t>
      </w:r>
    </w:p>
    <w:p w:rsidR="00320291" w:rsidRPr="00935859" w:rsidRDefault="00320291" w:rsidP="00935859"/>
    <w:p w:rsidR="00935859" w:rsidRPr="00935859" w:rsidRDefault="00320291" w:rsidP="00935859">
      <w:r>
        <w:t xml:space="preserve">Petrie, W.M. Flinders. </w:t>
      </w:r>
      <w:r w:rsidR="00935859">
        <w:t>1914</w:t>
      </w:r>
      <w:r>
        <w:t>.</w:t>
      </w:r>
      <w:r w:rsidR="00935859">
        <w:t xml:space="preserve"> </w:t>
      </w:r>
      <w:r w:rsidR="00935859">
        <w:rPr>
          <w:i/>
          <w:iCs/>
        </w:rPr>
        <w:t>Amulets</w:t>
      </w:r>
      <w:r w:rsidR="00935859">
        <w:t>. London: Constable &amp; Company.</w:t>
      </w:r>
    </w:p>
    <w:p w:rsidR="00935859" w:rsidRPr="00935859" w:rsidRDefault="00935859" w:rsidP="00935859">
      <w:pPr>
        <w:rPr>
          <w:rFonts w:eastAsia="Times New Roman"/>
        </w:rPr>
      </w:pPr>
    </w:p>
    <w:p w:rsidR="00935859" w:rsidRPr="00935859" w:rsidRDefault="00935859" w:rsidP="00935859">
      <w:r w:rsidRPr="00935859">
        <w:t>Petrie,</w:t>
      </w:r>
      <w:r>
        <w:t xml:space="preserve"> </w:t>
      </w:r>
      <w:r w:rsidRPr="00935859">
        <w:t>W.</w:t>
      </w:r>
      <w:r>
        <w:t xml:space="preserve"> </w:t>
      </w:r>
      <w:r w:rsidRPr="00935859">
        <w:t>M.</w:t>
      </w:r>
      <w:r>
        <w:t xml:space="preserve"> </w:t>
      </w:r>
      <w:r w:rsidRPr="00935859">
        <w:t>Flinders.</w:t>
      </w:r>
      <w:r>
        <w:t xml:space="preserve"> 1935. </w:t>
      </w:r>
      <w:r w:rsidRPr="00935859">
        <w:rPr>
          <w:i/>
        </w:rPr>
        <w:t>Shabtis. Illustrated by the Egyptian collection in University College, London.</w:t>
      </w:r>
      <w:r w:rsidRPr="00935859">
        <w:t xml:space="preserve"> </w:t>
      </w:r>
      <w:r>
        <w:t>London: University College.</w:t>
      </w:r>
    </w:p>
    <w:p w:rsidR="00320291" w:rsidRDefault="00320291" w:rsidP="00320291">
      <w:pPr>
        <w:sectPr w:rsidR="00320291" w:rsidSect="00215513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tbl>
      <w:tblPr>
        <w:tblW w:w="5000" w:type="pct"/>
        <w:tblCellSpacing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935859" w:rsidRPr="00320291" w:rsidTr="00320291">
        <w:trPr>
          <w:tblCellSpacing w:w="12" w:type="dxa"/>
        </w:trPr>
        <w:tc>
          <w:tcPr>
            <w:tcW w:w="0" w:type="auto"/>
            <w:vAlign w:val="center"/>
            <w:hideMark/>
          </w:tcPr>
          <w:p w:rsidR="00320291" w:rsidRPr="00320291" w:rsidRDefault="00320291" w:rsidP="00320291"/>
          <w:p w:rsidR="00935859" w:rsidRPr="00320291" w:rsidRDefault="00320291" w:rsidP="00320291">
            <w:r w:rsidRPr="00320291">
              <w:t>Schneider, Hans D. 1977.</w:t>
            </w:r>
            <w:r>
              <w:t xml:space="preserve"> </w:t>
            </w:r>
            <w:r w:rsidRPr="00320291">
              <w:rPr>
                <w:rFonts w:hint="eastAsia"/>
              </w:rPr>
              <w:t>Shabtis: an introduction to the history of ancient Egyptian funerary statuettes with a catalogue of the collection of shabtis in</w:t>
            </w:r>
            <w:r w:rsidRPr="00320291">
              <w:t xml:space="preserve"> </w:t>
            </w:r>
            <w:r w:rsidRPr="00320291">
              <w:rPr>
                <w:rFonts w:hint="eastAsia"/>
              </w:rPr>
              <w:t>the National Museum of Antiquities at Leiden</w:t>
            </w:r>
            <w:r w:rsidRPr="00320291">
              <w:t>. 3 v.</w:t>
            </w:r>
            <w:r w:rsidR="0093254E">
              <w:t>:</w:t>
            </w:r>
            <w:r w:rsidRPr="00320291">
              <w:t xml:space="preserve"> </w:t>
            </w:r>
            <w:r w:rsidR="0093254E">
              <w:t xml:space="preserve">v. </w:t>
            </w:r>
            <w:r w:rsidRPr="00320291">
              <w:rPr>
                <w:rFonts w:hint="eastAsia"/>
              </w:rPr>
              <w:t xml:space="preserve">1. An introduction to the history of ancient Egyptian funerary statuettes -- </w:t>
            </w:r>
            <w:r w:rsidR="0093254E">
              <w:t>v</w:t>
            </w:r>
            <w:r w:rsidRPr="00320291">
              <w:rPr>
                <w:rFonts w:hint="eastAsia"/>
              </w:rPr>
              <w:t>.</w:t>
            </w:r>
            <w:r w:rsidR="0093254E">
              <w:t xml:space="preserve"> </w:t>
            </w:r>
            <w:r w:rsidRPr="00320291">
              <w:rPr>
                <w:rFonts w:hint="eastAsia"/>
              </w:rPr>
              <w:t xml:space="preserve">2. A catalogue of the collection of shabtis in the National Museum of Antiquities at Leiden -- </w:t>
            </w:r>
            <w:r w:rsidR="0093254E">
              <w:t>v</w:t>
            </w:r>
            <w:r w:rsidRPr="00320291">
              <w:rPr>
                <w:rFonts w:hint="eastAsia"/>
              </w:rPr>
              <w:t>. 3. Illustrations.</w:t>
            </w:r>
            <w:r w:rsidRPr="00320291">
              <w:t xml:space="preserve"> </w:t>
            </w:r>
            <w:r w:rsidRPr="00320291">
              <w:rPr>
                <w:rFonts w:hint="eastAsia"/>
              </w:rPr>
              <w:t>Collections of the National Museum of An</w:t>
            </w:r>
            <w:r>
              <w:rPr>
                <w:rFonts w:hint="eastAsia"/>
              </w:rPr>
              <w:t>tiquities at Leiden</w:t>
            </w:r>
            <w:r>
              <w:t>.</w:t>
            </w:r>
            <w:r w:rsidRPr="00320291">
              <w:rPr>
                <w:rFonts w:hint="eastAsia"/>
              </w:rPr>
              <w:t xml:space="preserve"> Leiden: Rijksmuseum van Oudheden</w:t>
            </w:r>
            <w:r w:rsidRPr="00320291">
              <w:t>.</w:t>
            </w:r>
            <w:r w:rsidRPr="00320291">
              <w:rPr>
                <w:rFonts w:hint="eastAsia"/>
              </w:rPr>
              <w:t xml:space="preserve"> </w:t>
            </w:r>
            <w:r w:rsidR="00935859" w:rsidRPr="00320291">
              <w:rPr>
                <w:rFonts w:hint="eastAsia"/>
              </w:rPr>
              <w:br/>
            </w:r>
          </w:p>
          <w:p w:rsidR="00935859" w:rsidRPr="00320291" w:rsidRDefault="00935859" w:rsidP="00320291"/>
          <w:p w:rsidR="00935859" w:rsidRPr="00320291" w:rsidRDefault="00935859" w:rsidP="00320291"/>
          <w:p w:rsidR="00935859" w:rsidRPr="00320291" w:rsidRDefault="00935859" w:rsidP="00320291"/>
        </w:tc>
      </w:tr>
    </w:tbl>
    <w:p w:rsidR="00935859" w:rsidRPr="00935859" w:rsidRDefault="00935859" w:rsidP="00935859"/>
    <w:sectPr w:rsidR="00935859" w:rsidRPr="00935859" w:rsidSect="00320291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5708E"/>
    <w:multiLevelType w:val="multilevel"/>
    <w:tmpl w:val="6FC6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C3218"/>
    <w:multiLevelType w:val="multilevel"/>
    <w:tmpl w:val="17CC2F9A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02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D09F6"/>
    <w:rsid w:val="002D2373"/>
    <w:rsid w:val="002D29B3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60B2"/>
    <w:rsid w:val="002E715D"/>
    <w:rsid w:val="002F135A"/>
    <w:rsid w:val="002F1594"/>
    <w:rsid w:val="002F264F"/>
    <w:rsid w:val="002F333C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0291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356"/>
    <w:rsid w:val="003D497E"/>
    <w:rsid w:val="003D62B0"/>
    <w:rsid w:val="003D718A"/>
    <w:rsid w:val="003E11EF"/>
    <w:rsid w:val="003E1BD8"/>
    <w:rsid w:val="003E4179"/>
    <w:rsid w:val="003E532C"/>
    <w:rsid w:val="003E579F"/>
    <w:rsid w:val="003E6978"/>
    <w:rsid w:val="003F0407"/>
    <w:rsid w:val="003F05AF"/>
    <w:rsid w:val="003F098C"/>
    <w:rsid w:val="003F2E56"/>
    <w:rsid w:val="003F3643"/>
    <w:rsid w:val="003F3682"/>
    <w:rsid w:val="003F3CC7"/>
    <w:rsid w:val="003F75C8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C5F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F98"/>
    <w:rsid w:val="004A26C9"/>
    <w:rsid w:val="004A58F7"/>
    <w:rsid w:val="004B0915"/>
    <w:rsid w:val="004B1039"/>
    <w:rsid w:val="004B2492"/>
    <w:rsid w:val="004B2FF9"/>
    <w:rsid w:val="004B4047"/>
    <w:rsid w:val="004B5655"/>
    <w:rsid w:val="004B74B8"/>
    <w:rsid w:val="004C2223"/>
    <w:rsid w:val="004C2B7F"/>
    <w:rsid w:val="004C7A27"/>
    <w:rsid w:val="004D1E4C"/>
    <w:rsid w:val="004D4D3A"/>
    <w:rsid w:val="004D4EE0"/>
    <w:rsid w:val="004D5FBA"/>
    <w:rsid w:val="004E1535"/>
    <w:rsid w:val="004E3555"/>
    <w:rsid w:val="004E4F31"/>
    <w:rsid w:val="004E5426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A213D"/>
    <w:rsid w:val="005A387C"/>
    <w:rsid w:val="005A4059"/>
    <w:rsid w:val="005A4543"/>
    <w:rsid w:val="005A5569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45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E64AA"/>
    <w:rsid w:val="006F2123"/>
    <w:rsid w:val="006F3F0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43A4"/>
    <w:rsid w:val="00764A9A"/>
    <w:rsid w:val="00765317"/>
    <w:rsid w:val="007671F8"/>
    <w:rsid w:val="007708F7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11DC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5A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5347"/>
    <w:rsid w:val="008D63C0"/>
    <w:rsid w:val="008D7793"/>
    <w:rsid w:val="008E0F25"/>
    <w:rsid w:val="008E2DB7"/>
    <w:rsid w:val="008E5E6A"/>
    <w:rsid w:val="008E5EF1"/>
    <w:rsid w:val="008F1B52"/>
    <w:rsid w:val="008F4ABA"/>
    <w:rsid w:val="008F4BD9"/>
    <w:rsid w:val="008F4C9D"/>
    <w:rsid w:val="008F5D0A"/>
    <w:rsid w:val="008F6031"/>
    <w:rsid w:val="009011C4"/>
    <w:rsid w:val="009020BC"/>
    <w:rsid w:val="00902368"/>
    <w:rsid w:val="00903030"/>
    <w:rsid w:val="0090485B"/>
    <w:rsid w:val="009052FF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54E"/>
    <w:rsid w:val="00932D04"/>
    <w:rsid w:val="009331D5"/>
    <w:rsid w:val="0093447D"/>
    <w:rsid w:val="00935859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E1"/>
    <w:rsid w:val="00A746F5"/>
    <w:rsid w:val="00A76746"/>
    <w:rsid w:val="00A80CB9"/>
    <w:rsid w:val="00A81620"/>
    <w:rsid w:val="00A8168A"/>
    <w:rsid w:val="00A85589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5329"/>
    <w:rsid w:val="00B56131"/>
    <w:rsid w:val="00B565D3"/>
    <w:rsid w:val="00B56674"/>
    <w:rsid w:val="00B61619"/>
    <w:rsid w:val="00B63936"/>
    <w:rsid w:val="00B65113"/>
    <w:rsid w:val="00B66F6B"/>
    <w:rsid w:val="00B70DBE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7B45"/>
    <w:rsid w:val="00BF4A2C"/>
    <w:rsid w:val="00BF5840"/>
    <w:rsid w:val="00BF65DF"/>
    <w:rsid w:val="00BF6B92"/>
    <w:rsid w:val="00C00451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200C"/>
    <w:rsid w:val="00C4210B"/>
    <w:rsid w:val="00C43556"/>
    <w:rsid w:val="00C43E90"/>
    <w:rsid w:val="00C4420B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5C32"/>
    <w:rsid w:val="00DE73D9"/>
    <w:rsid w:val="00DF1C60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6937"/>
    <w:rsid w:val="00EC75D6"/>
    <w:rsid w:val="00ED44BF"/>
    <w:rsid w:val="00ED5DAF"/>
    <w:rsid w:val="00ED738C"/>
    <w:rsid w:val="00EE08A4"/>
    <w:rsid w:val="00EE0A26"/>
    <w:rsid w:val="00EF33E1"/>
    <w:rsid w:val="00EF5973"/>
    <w:rsid w:val="00EF737E"/>
    <w:rsid w:val="00F002E2"/>
    <w:rsid w:val="00F02382"/>
    <w:rsid w:val="00F04553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3CA6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5FFA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7378"/>
    <w:rsid w:val="00F77908"/>
    <w:rsid w:val="00F80062"/>
    <w:rsid w:val="00F80DBA"/>
    <w:rsid w:val="00F82475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44C1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363B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9BF82-023F-433D-9B27-FB5291AC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85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935859"/>
    <w:rPr>
      <w:b/>
      <w:bCs/>
    </w:rPr>
  </w:style>
  <w:style w:type="character" w:styleId="Hyperlink">
    <w:name w:val="Hyperlink"/>
    <w:basedOn w:val="DefaultParagraphFont"/>
    <w:uiPriority w:val="99"/>
    <w:unhideWhenUsed/>
    <w:rsid w:val="00935859"/>
    <w:rPr>
      <w:color w:val="0000FF"/>
      <w:u w:val="single"/>
    </w:rPr>
  </w:style>
  <w:style w:type="character" w:customStyle="1" w:styleId="text3">
    <w:name w:val="text3"/>
    <w:basedOn w:val="DefaultParagraphFont"/>
    <w:rsid w:val="00935859"/>
  </w:style>
  <w:style w:type="character" w:customStyle="1" w:styleId="subfielddata">
    <w:name w:val="subfielddata"/>
    <w:basedOn w:val="DefaultParagraphFont"/>
    <w:rsid w:val="00935859"/>
  </w:style>
  <w:style w:type="character" w:customStyle="1" w:styleId="fieldlabelspan">
    <w:name w:val="fieldlabelspan"/>
    <w:basedOn w:val="DefaultParagraphFont"/>
    <w:rsid w:val="00935859"/>
  </w:style>
  <w:style w:type="character" w:customStyle="1" w:styleId="Heading2Char">
    <w:name w:val="Heading 2 Char"/>
    <w:basedOn w:val="DefaultParagraphFont"/>
    <w:link w:val="Heading2"/>
    <w:uiPriority w:val="9"/>
    <w:rsid w:val="00935859"/>
    <w:rPr>
      <w:rFonts w:eastAsia="Times New Roman"/>
      <w:b/>
      <w:bCs/>
      <w:sz w:val="36"/>
      <w:szCs w:val="36"/>
    </w:rPr>
  </w:style>
  <w:style w:type="paragraph" w:customStyle="1" w:styleId="author">
    <w:name w:val="author"/>
    <w:basedOn w:val="Normal"/>
    <w:rsid w:val="00935859"/>
    <w:pPr>
      <w:spacing w:before="100" w:beforeAutospacing="1" w:after="100" w:afterAutospacing="1"/>
    </w:pPr>
    <w:rPr>
      <w:rFonts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">
    <w:name w:val="st"/>
    <w:basedOn w:val="DefaultParagraphFont"/>
    <w:rsid w:val="00935859"/>
  </w:style>
  <w:style w:type="paragraph" w:styleId="NormalWeb">
    <w:name w:val="Normal (Web)"/>
    <w:basedOn w:val="Normal"/>
    <w:uiPriority w:val="99"/>
    <w:unhideWhenUsed/>
    <w:rsid w:val="00935859"/>
    <w:pPr>
      <w:spacing w:before="100" w:beforeAutospacing="1" w:after="100" w:afterAutospacing="1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358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5859"/>
    <w:pPr>
      <w:ind w:left="720"/>
      <w:contextualSpacing/>
    </w:pPr>
  </w:style>
  <w:style w:type="character" w:customStyle="1" w:styleId="notranslate">
    <w:name w:val="notranslate"/>
    <w:basedOn w:val="DefaultParagraphFont"/>
    <w:rsid w:val="00320291"/>
  </w:style>
  <w:style w:type="character" w:customStyle="1" w:styleId="geo-dms">
    <w:name w:val="geo-dms"/>
    <w:basedOn w:val="DefaultParagraphFont"/>
    <w:rsid w:val="004E3555"/>
  </w:style>
  <w:style w:type="character" w:customStyle="1" w:styleId="latitude">
    <w:name w:val="latitude"/>
    <w:basedOn w:val="DefaultParagraphFont"/>
    <w:rsid w:val="004E3555"/>
  </w:style>
  <w:style w:type="character" w:customStyle="1" w:styleId="longitude">
    <w:name w:val="longitude"/>
    <w:basedOn w:val="DefaultParagraphFont"/>
    <w:rsid w:val="004E3555"/>
  </w:style>
  <w:style w:type="paragraph" w:styleId="BalloonText">
    <w:name w:val="Balloon Text"/>
    <w:basedOn w:val="Normal"/>
    <w:link w:val="BalloonTextChar"/>
    <w:uiPriority w:val="99"/>
    <w:semiHidden/>
    <w:unhideWhenUsed/>
    <w:rsid w:val="003F75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wmflabs.org/geohack/geohack.php?pagename=Saqqara&amp;params=29_52_16_N_31_12_59_E_type:landmark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cott\AppData\Local\Microsoft\Windows\INetCache\Content.Outlook\UX2A5U4H\A%20183%20Afr-Egy-Amulet-Anubis-Faience-192%20.16%20m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 183 Afr-Egy-Amulet-Anubis-Faience-192 .16 mm</Template>
  <TotalTime>1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Susan Murcott</cp:lastModifiedBy>
  <cp:revision>1</cp:revision>
  <cp:lastPrinted>2017-07-05T21:02:00Z</cp:lastPrinted>
  <dcterms:created xsi:type="dcterms:W3CDTF">2017-07-08T14:54:00Z</dcterms:created>
  <dcterms:modified xsi:type="dcterms:W3CDTF">2017-07-08T14:55:00Z</dcterms:modified>
</cp:coreProperties>
</file>