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</w:rPr>
      </w:pPr>
      <w:r>
        <w:rPr>
          <w:sz w:val="22"/>
        </w:rPr>
        <w:t>DIS-Asia-</w:t>
      </w:r>
      <w:r>
        <w:rPr>
          <w:sz w:val="22"/>
          <w:szCs w:val="20"/>
        </w:rPr>
        <w:t xml:space="preserve"> Gandhara-Buddhist nun in preaching posture, ca. 200-300 C.E.-terracotta.</w:t>
      </w:r>
    </w:p>
    <w:p>
      <w:pPr>
        <w:pStyle w:val="Heading1"/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  <w:t xml:space="preserve">Gandhara terracotta Buddhist nun in preaching posture (with wide-open eyes), ca. 200-300 C.E. Height: 9.5 cm. x 4.5 cm., no restoration, fine condition. Buddhist texts record of eminent saintly </w:t>
      </w:r>
      <w:r>
        <w:rPr>
          <w:b w:val="false"/>
          <w:bCs w:val="false"/>
          <w:i/>
          <w:iCs/>
          <w:sz w:val="22"/>
        </w:rPr>
        <w:t>Bhikkhunis</w:t>
      </w:r>
      <w:r>
        <w:rPr>
          <w:b w:val="false"/>
          <w:bCs w:val="false"/>
          <w:sz w:val="22"/>
        </w:rPr>
        <w:t xml:space="preserve">, who were very learned and who were experts in preaching the </w:t>
      </w:r>
      <w:r>
        <w:rPr>
          <w:b w:val="false"/>
          <w:bCs w:val="false"/>
          <w:i/>
          <w:iCs/>
          <w:sz w:val="22"/>
        </w:rPr>
        <w:t>Dhamma</w:t>
      </w:r>
      <w:r>
        <w:rPr>
          <w:b w:val="false"/>
          <w:bCs w:val="false"/>
          <w:sz w:val="22"/>
        </w:rPr>
        <w:t xml:space="preserve">. </w:t>
      </w:r>
      <w:r>
        <w:rPr>
          <w:b w:val="false"/>
          <w:bCs w:val="false"/>
          <w:i/>
          <w:iCs/>
          <w:sz w:val="22"/>
        </w:rPr>
        <w:t>Dhammadinna</w:t>
      </w:r>
      <w:r>
        <w:rPr>
          <w:b w:val="false"/>
          <w:bCs w:val="false"/>
          <w:sz w:val="22"/>
        </w:rPr>
        <w:t xml:space="preserve"> was one such </w:t>
      </w:r>
      <w:r>
        <w:rPr>
          <w:b w:val="false"/>
          <w:bCs w:val="false"/>
          <w:i/>
          <w:iCs/>
          <w:sz w:val="22"/>
        </w:rPr>
        <w:t>Bhikkhuni</w:t>
      </w:r>
      <w:r>
        <w:rPr>
          <w:b w:val="false"/>
          <w:bCs w:val="false"/>
          <w:sz w:val="22"/>
        </w:rPr>
        <w:t xml:space="preserve">. </w:t>
      </w:r>
      <w:r>
        <w:rPr>
          <w:b w:val="false"/>
          <w:bCs w:val="false"/>
          <w:i/>
          <w:iCs/>
          <w:sz w:val="22"/>
        </w:rPr>
        <w:t>Khema</w:t>
      </w:r>
      <w:r>
        <w:rPr>
          <w:b w:val="false"/>
          <w:bCs w:val="false"/>
          <w:sz w:val="22"/>
        </w:rPr>
        <w:t xml:space="preserve"> and </w:t>
      </w:r>
      <w:r>
        <w:rPr>
          <w:b w:val="false"/>
          <w:bCs w:val="false"/>
          <w:i/>
          <w:iCs/>
          <w:sz w:val="22"/>
        </w:rPr>
        <w:t>Uppalavanna</w:t>
      </w:r>
      <w:r>
        <w:rPr>
          <w:b w:val="false"/>
          <w:bCs w:val="false"/>
          <w:sz w:val="22"/>
        </w:rPr>
        <w:t xml:space="preserve"> are two others. The </w:t>
      </w:r>
      <w:r>
        <w:rPr>
          <w:b w:val="false"/>
          <w:bCs w:val="false"/>
          <w:i/>
          <w:iCs/>
          <w:sz w:val="22"/>
        </w:rPr>
        <w:t>Theri-gatha</w:t>
      </w:r>
      <w:r>
        <w:rPr>
          <w:b w:val="false"/>
          <w:bCs w:val="false"/>
          <w:sz w:val="22"/>
        </w:rPr>
        <w:t xml:space="preserve"> contains numerous stanzas that clearly express the feelings of joy experienced by saintly </w:t>
      </w:r>
      <w:r>
        <w:rPr>
          <w:b w:val="false"/>
          <w:bCs w:val="false"/>
          <w:i/>
          <w:iCs/>
          <w:sz w:val="22"/>
        </w:rPr>
        <w:t>bhikkhunis</w:t>
      </w:r>
      <w:r>
        <w:rPr>
          <w:b w:val="false"/>
          <w:bCs w:val="false"/>
          <w:sz w:val="22"/>
        </w:rPr>
        <w:t xml:space="preserve"> at their ability to enter the Order and realize </w:t>
      </w:r>
      <w:r>
        <w:rPr>
          <w:rStyle w:val="Tgc"/>
          <w:b/>
          <w:bCs/>
          <w:sz w:val="22"/>
        </w:rPr>
        <w:t xml:space="preserve">great compassion, or </w:t>
      </w:r>
      <w:r>
        <w:rPr>
          <w:rStyle w:val="Tgc"/>
          <w:b/>
          <w:bCs/>
          <w:i/>
          <w:iCs/>
          <w:sz w:val="22"/>
        </w:rPr>
        <w:t>bodhi-citta</w:t>
      </w:r>
      <w:r>
        <w:rPr>
          <w:rStyle w:val="Tgc"/>
          <w:b/>
          <w:bCs/>
          <w:sz w:val="22"/>
        </w:rPr>
        <w:t xml:space="preserve"> (in </w:t>
      </w:r>
      <w:r>
        <w:rPr>
          <w:rStyle w:val="St"/>
          <w:b/>
          <w:bCs/>
          <w:sz w:val="22"/>
        </w:rPr>
        <w:t xml:space="preserve">Sanskrit, meaning “mind of enlightenment” or “spirit of awakening,” from </w:t>
      </w:r>
      <w:r>
        <w:rPr>
          <w:rStyle w:val="St"/>
          <w:b/>
          <w:bCs/>
          <w:i/>
          <w:iCs/>
          <w:sz w:val="22"/>
        </w:rPr>
        <w:t>bodhi</w:t>
      </w:r>
      <w:r>
        <w:rPr>
          <w:rStyle w:val="St"/>
          <w:b/>
          <w:bCs/>
          <w:sz w:val="22"/>
        </w:rPr>
        <w:t xml:space="preserve">, “enlightenment” and </w:t>
      </w:r>
      <w:r>
        <w:rPr>
          <w:rStyle w:val="St"/>
          <w:b/>
          <w:bCs/>
          <w:i/>
          <w:iCs/>
          <w:sz w:val="22"/>
        </w:rPr>
        <w:t>cittá</w:t>
      </w:r>
      <w:r>
        <w:rPr>
          <w:rStyle w:val="St"/>
          <w:b/>
          <w:bCs/>
          <w:sz w:val="22"/>
        </w:rPr>
        <w:t>, “mind”)</w:t>
      </w:r>
      <w:r>
        <w:rPr>
          <w:rStyle w:val="Tgc"/>
          <w:b/>
          <w:bCs/>
          <w:sz w:val="22"/>
        </w:rPr>
        <w:t xml:space="preserve"> for the benefit of all sentient beings.</w:t>
      </w:r>
    </w:p>
    <w:p>
      <w:pPr>
        <w:pStyle w:val="Normal"/>
        <w:rPr>
          <w:b/>
          <w:b/>
          <w:bCs/>
          <w:sz w:val="22"/>
          <w:szCs w:val="20"/>
        </w:rPr>
      </w:pPr>
      <w:r>
        <w:rPr>
          <w:b/>
          <w:bCs/>
          <w:sz w:val="22"/>
          <w:szCs w:val="20"/>
        </w:rPr>
      </w:r>
    </w:p>
    <w:p>
      <w:pPr>
        <w:pStyle w:val="Normal"/>
        <w:rPr/>
      </w:pPr>
      <w:r>
        <w:rPr/>
        <w:drawing>
          <wp:inline distT="0" distB="0" distL="0" distR="0">
            <wp:extent cx="2023110" cy="3283585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10" r="-1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16430" cy="3286125"/>
            <wp:effectExtent l="0" t="0" r="0" b="0"/>
            <wp:docPr id="2" name="scl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10" r="-1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57400" cy="3293745"/>
            <wp:effectExtent l="0" t="0" r="0" b="0"/>
            <wp:docPr id="3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10" r="-1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Tgc">
    <w:name w:val="_tgc"/>
    <w:basedOn w:val="DefaultParagraphFont"/>
    <w:qFormat/>
    <w:rPr/>
  </w:style>
  <w:style w:type="character" w:styleId="St">
    <w:name w:val="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2016-01-17T18:12:00Z</dcterms:created>
  <dc:creator>owner</dc:creator>
  <dc:description/>
  <dc:language>en-US</dc:language>
  <cp:lastModifiedBy>owner</cp:lastModifiedBy>
  <dcterms:modified xsi:type="dcterms:W3CDTF">2016-01-17T18:43:00Z</dcterms:modified>
  <cp:revision>4</cp:revision>
  <dc:subject/>
  <dc:title>DIS-Asia- Gandhara-Buddhist nun in preaching posture, ca</dc:title>
</cp:coreProperties>
</file>