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A000-AM,C-Taino-Pendant-Anthropomorphic Owl-Manatee Bone-1000 CE</w:t>
      </w:r>
    </w:p>
    <w:p>
      <w:pPr>
        <w:pStyle w:val="Normal"/>
        <w:rPr/>
      </w:pPr>
      <w:r>
        <w:rPr/>
        <w:drawing>
          <wp:inline distT="0" distB="0" distL="0" distR="0">
            <wp:extent cx="1665605" cy="3838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- </w:t>
      </w:r>
      <w:r>
        <w:rPr/>
        <w:drawing>
          <wp:inline distT="0" distB="0" distL="0" distR="0">
            <wp:extent cx="1477645" cy="38322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02105" cy="38309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99235" cy="3835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5495" cy="409511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1-5. AM,C-Taino-Pendant-Anthropomorphic Owl-Manatee Bone-1000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AM,C-Taino-Pendant-Anthropomorphic Owl-Manatee Bone-1000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 F 1909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2018-08-03T02:42:00Z</dcterms:created>
  <dc:creator>owner</dc:creator>
  <dc:description/>
  <cp:keywords/>
  <dc:language>en-US</dc:language>
  <cp:lastModifiedBy>Ralph Coffman</cp:lastModifiedBy>
  <dcterms:modified xsi:type="dcterms:W3CDTF">2018-08-03T02:42:00Z</dcterms:modified>
  <cp:revision>2</cp:revision>
  <dc:subject/>
  <dc:title>DIS-AM,C-Taino-Pendant-Anthropomorphic owl</dc:title>
</cp:coreProperties>
</file>